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21502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8 сент. 2026 г., 17_54_58(1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502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b/>
          <w:sz w:val="62"/>
        </w:rPr>
        <w:t>NODA</w:t>
      </w:r>
    </w:p>
    <w:p>
      <w:pPr>
        <w:jc w:val="center"/>
      </w:pPr>
      <w:r>
        <w:rPr>
          <w:b/>
          <w:sz w:val="42"/>
        </w:rPr>
        <w:t>WHITEPAPER v1.1</w:t>
      </w:r>
    </w:p>
    <w:p>
      <w:pPr>
        <w:jc w:val="center"/>
      </w:pPr>
      <w:r>
        <w:rPr>
          <w:b/>
          <w:color w:val="A00000"/>
          <w:sz w:val="26"/>
        </w:rPr>
        <w:t>PUBLIC RELEASE</w:t>
      </w:r>
    </w:p>
    <w:p>
      <w:pPr>
        <w:jc w:val="center"/>
      </w:pPr>
      <w:r>
        <w:rPr>
          <w:i/>
          <w:sz w:val="22"/>
        </w:rPr>
        <w:t>BNB Smart Chain • Fixed Supply • Digital Token Infrastructure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Значение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Токен / тикер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 / NODA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Сеть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BNB Smart Chain (BSC)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Смарт-контракт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0x34027b8aab4daf79df81b470df05357c465bada6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Общий выпуск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21 000 000 000 NODA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Decimals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18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Creator / deployer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0x22d67ed1B816Cf792702C512b93CC2f1b8eDdbFe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Официальный запуск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 октября 2026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Основной DEX рынок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PancakeSwap V3 — NODA/USDT</w:t>
            </w:r>
          </w:p>
        </w:tc>
      </w:tr>
    </w:tbl>
    <w:p>
      <w:pPr>
        <w:jc w:val="center"/>
      </w:pPr>
      <w:r>
        <w:rPr>
          <w:b w:val="0"/>
          <w:i/>
        </w:rPr>
        <w:t>Публичная редакция • 10 сентября 2026</w:t>
      </w:r>
    </w:p>
    <w:p>
      <w:r>
        <w:br w:type="page"/>
      </w:r>
    </w:p>
    <w:p>
      <w:pPr>
        <w:pStyle w:val="Heading1"/>
      </w:pPr>
      <w:r>
        <w:t>Статус документа</w:t>
      </w:r>
    </w:p>
    <w:p>
      <w:pPr>
        <w:jc w:val="left"/>
      </w:pPr>
      <w:r>
        <w:rPr>
          <w:b w:val="0"/>
          <w:i w:val="0"/>
        </w:rPr>
        <w:t>Настоящая редакция является публичной версией Whitepaper NODA. На дату публикации официальный запуск проекта запланирован на 1 октября 2026 года. Документ описывает подтверждённую техническую конфигурацию, утверждённую модель распределения и публичную политику проекта. Независимый аудит смарт-контракта на дату этой версии не заявляется как завершённый; соответствующий раздел имеет статус planned / pending и будет обновлён после появления опубликованного аудиторского заключения.</w:t>
      </w:r>
    </w:p>
    <w:p>
      <w:pPr>
        <w:jc w:val="left"/>
      </w:pPr>
      <w:r>
        <w:rPr>
          <w:b w:val="0"/>
          <w:i w:val="0"/>
        </w:rPr>
        <w:t>Whitepaper не подтверждает и не подразумевает наличие банковской лицензии, статуса кредитной организации, платёжной системы, гарантированного выкупа токена, фиксированного курса или гарантированной доходности.</w:t>
      </w:r>
    </w:p>
    <w:p>
      <w:pPr>
        <w:pStyle w:val="Heading1"/>
      </w:pPr>
      <w:r>
        <w:t>1. Резюме проекта</w:t>
      </w:r>
    </w:p>
    <w:p>
      <w:pPr>
        <w:jc w:val="left"/>
      </w:pPr>
      <w:r>
        <w:rPr>
          <w:b w:val="0"/>
          <w:i w:val="0"/>
        </w:rPr>
        <w:t>NODA — цифровой токен стандарта BEP-20 в сети BNB Smart Chain с фиксированным максимальным выпуском 21 млрд NODA. Смарт-контракт построен как предсказуемая fixed-supply модель: после первоначального выпуска он не предусматривает публичный дополнительный mint, административное управление балансами, blacklist, pause, transfer tax или upgradeability.</w:t>
      </w:r>
    </w:p>
    <w:p>
      <w:pPr>
        <w:jc w:val="left"/>
      </w:pPr>
      <w:r>
        <w:rPr>
          <w:b w:val="0"/>
          <w:i w:val="0"/>
        </w:rPr>
        <w:t>Цель архитектуры — сделать базовый токеновый слой проверяемым на уровне публичного кода, а управление проектными резервами осуществлять через отдельные on-chain кошельки, заранее опубликованную Tokenomics и систему наблюдения NODA Control.</w:t>
      </w:r>
    </w:p>
    <w:p>
      <w:pPr>
        <w:pStyle w:val="Heading1"/>
      </w:pPr>
      <w:r>
        <w:t>2. Назначение NODA</w:t>
      </w:r>
    </w:p>
    <w:p>
      <w:pPr>
        <w:jc w:val="left"/>
      </w:pPr>
      <w:r>
        <w:rPr>
          <w:b w:val="0"/>
          <w:i w:val="0"/>
        </w:rPr>
        <w:t>NODA создаётся как цифровой токен для использования в развиваемой экосистеме и публичной блокчейн-инфраструктуре. Технически токен поддерживает стандартные BEP-20 переводы, хранение на совместимых EVM-кошельках и взаимодействие с децентрализованными рынками BNB Smart Chain.</w:t>
      </w:r>
    </w:p>
    <w:p>
      <w:pPr>
        <w:pStyle w:val="ListBullet"/>
        <w:spacing w:after="40"/>
      </w:pPr>
      <w:r>
        <w:t>передача NODA между совместимыми адресами BNB Smart Chain;</w:t>
      </w:r>
    </w:p>
    <w:p>
      <w:pPr>
        <w:pStyle w:val="ListBullet"/>
        <w:spacing w:after="40"/>
      </w:pPr>
      <w:r>
        <w:t>публичная проверка total supply, holders и transfers;</w:t>
      </w:r>
    </w:p>
    <w:p>
      <w:pPr>
        <w:pStyle w:val="ListBullet"/>
        <w:spacing w:after="40"/>
      </w:pPr>
      <w:r>
        <w:t>использование в ликвидности NODA/USDT на PancakeSwap V3;</w:t>
      </w:r>
    </w:p>
    <w:p>
      <w:pPr>
        <w:pStyle w:val="ListBullet"/>
        <w:spacing w:after="40"/>
      </w:pPr>
      <w:r>
        <w:t>прозрачное распределение проектных резервов по отдельным адресам;</w:t>
      </w:r>
    </w:p>
    <w:p>
      <w:pPr>
        <w:pStyle w:val="ListBullet"/>
        <w:spacing w:after="40"/>
      </w:pPr>
      <w:r>
        <w:t>мониторинг существенных изменений через NODA Control.</w:t>
      </w:r>
    </w:p>
    <w:p>
      <w:pPr>
        <w:jc w:val="left"/>
      </w:pPr>
      <w:r>
        <w:rPr>
          <w:b w:val="0"/>
          <w:i w:val="0"/>
        </w:rPr>
        <w:t>Наличие токена и DEX-пары не является обещанием цены, доходности, обязательного обмена или возможности совершить сделку в любом объёме.</w:t>
      </w:r>
    </w:p>
    <w:p>
      <w:r>
        <w:br w:type="page"/>
      </w:r>
    </w:p>
    <w:p>
      <w:pPr>
        <w:pStyle w:val="Heading1"/>
      </w:pPr>
      <w:r>
        <w:t>3. Блокчейн и смарт-контракт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Компонент</w:t>
            </w:r>
          </w:p>
        </w:tc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Блокчейн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BNB Smart Chain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Стандарт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BEP-20 / ERC-20 compatible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Контракт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0x34027b8aab4daf79df81b470df05357c465bada6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Название / тикер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 / NODA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Decimals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18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Total Supply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21 000 000 000 NODA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BscScan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Source Code Verified — Exact Match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Compiler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Solidity 0.8.24</w:t>
            </w:r>
          </w:p>
        </w:tc>
      </w:tr>
    </w:tbl>
    <w:p>
      <w:pPr>
        <w:jc w:val="left"/>
      </w:pPr>
      <w:r>
        <w:rPr>
          <w:b w:val="0"/>
          <w:i w:val="0"/>
        </w:rPr>
        <w:t>Исходный код NODA опубликован и подтверждён BscScan как Exact Match. Такая верификация означает совпадение опубликованного исходного кода с байткодом развёрнутого контракта, но не заменяет независимый аудит безопасности.</w:t>
      </w:r>
    </w:p>
    <w:p>
      <w:pPr>
        <w:pStyle w:val="Heading1"/>
      </w:pPr>
      <w:r>
        <w:t>4. Модель доверия и ограничения контракта</w:t>
      </w:r>
    </w:p>
    <w:p>
      <w:pPr>
        <w:pStyle w:val="ListBullet"/>
        <w:spacing w:after="40"/>
      </w:pPr>
      <w:r>
        <w:t>Весь первоначальный выпуск создаётся однократно при развёртывании.</w:t>
      </w:r>
    </w:p>
    <w:p>
      <w:pPr>
        <w:pStyle w:val="ListBullet"/>
        <w:spacing w:after="40"/>
      </w:pPr>
      <w:r>
        <w:t>Публичный дополнительный mint отсутствует.</w:t>
      </w:r>
    </w:p>
    <w:p>
      <w:pPr>
        <w:pStyle w:val="ListBullet"/>
        <w:spacing w:after="40"/>
      </w:pPr>
      <w:r>
        <w:t>Owner/admin-функции отсутствуют.</w:t>
      </w:r>
    </w:p>
    <w:p>
      <w:pPr>
        <w:pStyle w:val="ListBullet"/>
        <w:spacing w:after="40"/>
      </w:pPr>
      <w:r>
        <w:t>Blacklist и pause отсутствуют.</w:t>
      </w:r>
    </w:p>
    <w:p>
      <w:pPr>
        <w:pStyle w:val="ListBullet"/>
        <w:spacing w:after="40"/>
      </w:pPr>
      <w:r>
        <w:t>Проектная burn-функция отсутствует.</w:t>
      </w:r>
    </w:p>
    <w:p>
      <w:pPr>
        <w:pStyle w:val="ListBullet"/>
        <w:spacing w:after="40"/>
      </w:pPr>
      <w:r>
        <w:t>Transfer tax / fee отсутствует.</w:t>
      </w:r>
    </w:p>
    <w:p>
      <w:pPr>
        <w:pStyle w:val="ListBullet"/>
        <w:spacing w:after="40"/>
      </w:pPr>
      <w:r>
        <w:t>Upgradeability отсутствует.</w:t>
      </w:r>
    </w:p>
    <w:p>
      <w:pPr>
        <w:jc w:val="left"/>
      </w:pPr>
      <w:r>
        <w:rPr>
          <w:b w:val="0"/>
          <w:i w:val="0"/>
        </w:rPr>
        <w:t>Эта модель снижает риски последующего административного вмешательства в логику токена. Одновременно она означает невозможность исправить код путём upgrade, поэтому безопасность проектных кошельков и независимая проверка исходной реализации остаются важными элементами операционной защиты.</w:t>
      </w:r>
    </w:p>
    <w:p>
      <w:pPr>
        <w:pStyle w:val="Heading1"/>
      </w:pPr>
      <w:r>
        <w:t>5. Выпуск и Tokenomics</w:t>
      </w:r>
    </w:p>
    <w:p>
      <w:pPr>
        <w:jc w:val="left"/>
      </w:pPr>
      <w:r>
        <w:rPr>
          <w:b w:val="0"/>
          <w:i w:val="0"/>
        </w:rPr>
        <w:t>Общий выпуск NODA фиксирован на уровне 21 000 000 000 токенов. Экономическая модель строится на управлении заранее выпущенными аллокациями, а не на будущей эмиссии.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Аллокация</w:t>
            </w:r>
          </w:p>
        </w:tc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Количество</w:t>
            </w:r>
          </w:p>
        </w:tc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Доля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Treasury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8 000 000 000 NODA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38,0952%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Reserve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7 000 000 000 NODA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33,3333%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Liquidity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3 000 000 000 NODA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14,2857%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Ecosystem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1 500 000 000 NODA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7,1429%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Team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999 999 011,5577 NODA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4,7619%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Strategic / Operational Reserve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499 998 978,9017 NODA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2,3809%</w:t>
            </w:r>
          </w:p>
        </w:tc>
      </w:tr>
    </w:tbl>
    <w:p>
      <w:r>
        <w:br w:type="page"/>
      </w:r>
    </w:p>
    <w:p>
      <w:pPr>
        <w:pStyle w:val="Heading1"/>
      </w:pPr>
      <w:r>
        <w:t>6. Политика распределения и резервов</w:t>
      </w:r>
    </w:p>
    <w:p>
      <w:pPr>
        <w:pStyle w:val="Heading2"/>
      </w:pPr>
      <w:r>
        <w:t>6.1 Treasury — 8 млрд NODA</w:t>
      </w:r>
    </w:p>
    <w:p>
      <w:pPr>
        <w:jc w:val="left"/>
      </w:pPr>
      <w:r>
        <w:rPr>
          <w:b w:val="0"/>
          <w:i w:val="0"/>
        </w:rPr>
        <w:t>Используется для инфраструктуры, разработки, юридического и комплаенс-сопровождения, маркетинга, интеграций, партнёрств и других задач развития проекта.</w:t>
      </w:r>
    </w:p>
    <w:p>
      <w:pPr>
        <w:pStyle w:val="ListBullet"/>
        <w:spacing w:after="40"/>
      </w:pPr>
      <w:r>
        <w:t>Операции свыше 100 млн NODA должны иметь зафиксированное объяснение цели внутри проекта и, когда это не противоречит безопасности или юридическим ограничениям, сопровождаться публичным пояснением.</w:t>
      </w:r>
    </w:p>
    <w:p>
      <w:pPr>
        <w:pStyle w:val="ListBullet"/>
        <w:spacing w:after="40"/>
      </w:pPr>
      <w:r>
        <w:t>Операции от 210 млн NODA (1% total supply) считаются существенными событиями и отдельно контролируются NODA Control.</w:t>
      </w:r>
    </w:p>
    <w:p>
      <w:pPr>
        <w:pStyle w:val="Heading2"/>
      </w:pPr>
      <w:r>
        <w:t>6.2 Reserve — 7 млрд NODA</w:t>
      </w:r>
    </w:p>
    <w:p>
      <w:pPr>
        <w:jc w:val="left"/>
      </w:pPr>
      <w:r>
        <w:rPr>
          <w:b w:val="0"/>
          <w:i w:val="0"/>
        </w:rPr>
        <w:t>Является долгосрочным стратегическим резервом и не предназначен для обычных текущих расходов. Допустимые направления: стратегические партнёрства, инфраструктурное расширение, дополнительная рыночная ликвидность и исключительные задачи проекта.</w:t>
      </w:r>
    </w:p>
    <w:p>
      <w:pPr>
        <w:pStyle w:val="ListBullet"/>
        <w:spacing w:after="40"/>
      </w:pPr>
      <w:r>
        <w:t>Перемещения от 210 млн NODA считаются существенными резервными событиями.</w:t>
      </w:r>
    </w:p>
    <w:p>
      <w:pPr>
        <w:pStyle w:val="Heading2"/>
      </w:pPr>
      <w:r>
        <w:t>6.3 Liquidity — 3 млрд NODA</w:t>
      </w:r>
    </w:p>
    <w:p>
      <w:pPr>
        <w:jc w:val="left"/>
      </w:pPr>
      <w:r>
        <w:rPr>
          <w:b w:val="0"/>
          <w:i w:val="0"/>
        </w:rPr>
        <w:t>Это максимальный стратегический резерв для развития ликвидности, а не обязательство внести весь объём в DEX. Средства могут вводиться постепенно с учётом спроса, глубины рынка, количества торговых пар и операционной необходимости.</w:t>
      </w:r>
    </w:p>
    <w:p>
      <w:pPr>
        <w:pStyle w:val="Heading2"/>
      </w:pPr>
      <w:r>
        <w:t>6.4 Ecosystem — 1,5 млрд NODA</w:t>
      </w:r>
    </w:p>
    <w:p>
      <w:pPr>
        <w:jc w:val="left"/>
      </w:pPr>
      <w:r>
        <w:rPr>
          <w:b w:val="0"/>
          <w:i w:val="0"/>
        </w:rPr>
        <w:t>Используется для интеграций, грантов, партнёрских и community-программ, airdrop и иных инициатив развития экосистемы.</w:t>
      </w:r>
    </w:p>
    <w:p>
      <w:pPr>
        <w:pStyle w:val="ListBullet"/>
        <w:spacing w:after="40"/>
      </w:pPr>
      <w:r>
        <w:t>Одна отдельная программа не должна использовать более 75 млн NODA без отдельного решения проекта или публичного объявления.</w:t>
      </w:r>
    </w:p>
    <w:p>
      <w:pPr>
        <w:pStyle w:val="Heading2"/>
      </w:pPr>
      <w:r>
        <w:t>6.5 Strategic / Operational Reserve — около 500 млн NODA</w:t>
      </w:r>
    </w:p>
    <w:p>
      <w:pPr>
        <w:jc w:val="left"/>
      </w:pPr>
      <w:r>
        <w:rPr>
          <w:b w:val="0"/>
          <w:i w:val="0"/>
        </w:rPr>
        <w:t>Кошелёк noda-treasury1.bnb используется для ограниченных оперативных задач: тестирования инфраструктуры, листинговых процедур, интеграций, сервисных расходов и иных срочных технических операций. Он организационно отделён от основного Treasury и Reserve.</w:t>
      </w:r>
    </w:p>
    <w:p>
      <w:pPr>
        <w:pStyle w:val="Heading1"/>
      </w:pPr>
      <w:r>
        <w:t>7. Team vesting</w:t>
      </w:r>
    </w:p>
    <w:p>
      <w:pPr>
        <w:jc w:val="left"/>
      </w:pPr>
      <w:r>
        <w:rPr>
          <w:b w:val="0"/>
          <w:i w:val="0"/>
        </w:rPr>
        <w:t>Для Team allocation утверждён 36-месячный график, привязанный к официальной дате запуска проекта — 1 октября 2026 года.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Период</w:t>
            </w:r>
          </w:p>
        </w:tc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Правило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01.10.2026–30.09.2027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Полный lock-up. Плановое разблокирование Team allocation отсутствует.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01.10.2027–30.09.2029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24 месяца линейного вестинга; приблизительно 1/24 Team allocation в месяц.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После 30.09.2029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Плановый цикл вестинга завершён.</w:t>
            </w:r>
          </w:p>
        </w:tc>
      </w:tr>
    </w:tbl>
    <w:p>
      <w:pPr>
        <w:jc w:val="left"/>
      </w:pPr>
      <w:r>
        <w:rPr>
          <w:b w:val="0"/>
          <w:i w:val="0"/>
        </w:rPr>
        <w:t>Исходя из текущего баланса Team allocation, ориентировочный плановый объём ежемесячного линейного разблокирования составляет около 41,67 млн NODA. Фактические on-chain движения должны сопоставляться с указанным графиком.</w:t>
      </w:r>
    </w:p>
    <w:p>
      <w:r>
        <w:br w:type="page"/>
      </w:r>
    </w:p>
    <w:p>
      <w:pPr>
        <w:pStyle w:val="Heading1"/>
      </w:pPr>
      <w:r>
        <w:t>8. Методика Circulating Supply</w:t>
      </w:r>
    </w:p>
    <w:p>
      <w:pPr>
        <w:jc w:val="left"/>
      </w:pPr>
      <w:r>
        <w:rPr>
          <w:b w:val="0"/>
          <w:i w:val="0"/>
        </w:rPr>
        <w:t>Для публичной отчётности NODA применяет консервативный подход: Total Supply и Circulating Supply не считаются равными автоматически.</w:t>
      </w:r>
    </w:p>
    <w:p>
      <w:pPr>
        <w:jc w:val="left"/>
      </w:pPr>
      <w:r>
        <w:rPr>
          <w:b w:val="0"/>
          <w:i w:val="0"/>
        </w:rPr>
        <w:t>Проектный показатель Circulating Supply определяется как объём NODA, фактически выпущенный из выделенных проектных аллокаций в свободное публичное обращение и не подпадающий под заявленный lock-up, vesting или внутреннее резервное назначение.</w:t>
      </w:r>
    </w:p>
    <w:p>
      <w:pPr>
        <w:pStyle w:val="ListBullet"/>
        <w:spacing w:after="40"/>
      </w:pPr>
      <w:r>
        <w:t>Балансы Treasury, Reserve, Liquidity allocation wallet, Ecosystem, Team и Strategic / Operational Reserve не включаются в project-reported circulating supply, пока токены остаются на соответствующих проектных адресах или под действующими ограничениями.</w:t>
      </w:r>
    </w:p>
    <w:p>
      <w:pPr>
        <w:pStyle w:val="ListBullet"/>
        <w:spacing w:after="40"/>
      </w:pPr>
      <w:r>
        <w:t>Переводы между проектными адресами не увеличивают circulating supply.</w:t>
      </w:r>
    </w:p>
    <w:p>
      <w:pPr>
        <w:pStyle w:val="ListBullet"/>
        <w:spacing w:after="40"/>
      </w:pPr>
      <w:r>
        <w:t>Токены, переданные независимым внешним держателям без проектных ограничений, могут учитываться как circulating.</w:t>
      </w:r>
    </w:p>
    <w:p>
      <w:pPr>
        <w:pStyle w:val="ListBullet"/>
        <w:spacing w:after="40"/>
      </w:pPr>
      <w:r>
        <w:t>Активная DEX-ликвидность раскрывается отдельным показателем и не используется для искусственного увеличения project-reported circulating supply.</w:t>
      </w:r>
    </w:p>
    <w:p>
      <w:pPr>
        <w:pStyle w:val="ListBullet"/>
        <w:spacing w:after="40"/>
      </w:pPr>
      <w:r>
        <w:t>После начала Team vesting разблокированный объём не становится circulating автоматически: учитывается его фактический выход из ограниченной проектной аллокации в свободное обращение.</w:t>
      </w:r>
    </w:p>
    <w:p>
      <w:pPr>
        <w:jc w:val="left"/>
      </w:pPr>
      <w:r>
        <w:rPr>
          <w:b w:val="0"/>
          <w:i w:val="0"/>
        </w:rPr>
        <w:t>Внешние площадки, включая CoinMarketCap и CoinGecko, могут применять собственные методики circulating supply. При расхождении проект отдельно указывает свою методологию и не представляет внутренний расчёт как расчёт конкретного трекера.</w:t>
      </w:r>
    </w:p>
    <w:p>
      <w:pPr>
        <w:pStyle w:val="Heading1"/>
      </w:pPr>
      <w:r>
        <w:t>9. Рыночная ликвидность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Публичный baseline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DEX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PancakeSwap V3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Пара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 / USDT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Pool contract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0x2e8225eF29e0A2C928B9feFD53f9B6F359938Cf1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Position ID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#7381143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Fee tier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0,01%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Рабочий диапазон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0,979–0,981 USDT за NODA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Baseline price на 10.09.2026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≈0,98024 USDT за NODA</w:t>
            </w:r>
          </w:p>
        </w:tc>
      </w:tr>
    </w:tbl>
    <w:p>
      <w:pPr>
        <w:jc w:val="left"/>
      </w:pPr>
      <w:r>
        <w:rPr>
          <w:b w:val="0"/>
          <w:i w:val="0"/>
        </w:rPr>
        <w:t>Показатели цены, TVL, volume, fees и APR являются динамическими. Узкий V3-диапазон повышает эффективность капитала внутри коридора, но может стать неактивным при небольшом движении цены. Аллокация Liquidity в 3 млрд NODA и фактически внесённый в LP объём всегда раскрываются как разные показатели.</w:t>
      </w:r>
    </w:p>
    <w:p>
      <w:r>
        <w:br w:type="page"/>
      </w:r>
    </w:p>
    <w:p>
      <w:pPr>
        <w:pStyle w:val="Heading1"/>
      </w:pPr>
      <w:r>
        <w:t>10. Официальные публичные источники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Источник</w:t>
            </w:r>
          </w:p>
        </w:tc>
        <w:tc>
          <w:tcPr>
            <w:tcW w:type="dxa" w:w="5141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Адрес / назначение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Website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https://nodabank.ru/en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Telegram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https://t.me/NODA_Token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X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https://x.com/NodaToken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BscScan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https://bscscan.com/address/0x34027b8aab4daF79DF81B470df05357C465BaDA6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GeckoTerminal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https://www.geckoterminal.com/bsc/pools/0x2e8225ef29e0a2c928b9fefd53f9b6f359938cf1</w:t>
            </w:r>
          </w:p>
        </w:tc>
      </w:tr>
      <w:tr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CoinMarketCap DEX</w:t>
            </w:r>
          </w:p>
        </w:tc>
        <w:tc>
          <w:tcPr>
            <w:tcW w:type="dxa" w:w="51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https://dex.coinmarketcap.com/token/bsc/0x34027b8aab4daf79df81b470df05357c465bada6/</w:t>
            </w:r>
          </w:p>
        </w:tc>
      </w:tr>
    </w:tbl>
    <w:p>
      <w:pPr>
        <w:jc w:val="left"/>
      </w:pPr>
      <w:r>
        <w:rPr>
          <w:b w:val="0"/>
          <w:i w:val="0"/>
        </w:rPr>
        <w:t>Для технических свойств токена приоритет имеют данные блокчейна и верифицированный код. Market metrics внешних сервисов могут различаться из-за методик расчёта и частоты обновления.</w:t>
      </w:r>
    </w:p>
    <w:p>
      <w:pPr>
        <w:pStyle w:val="Heading1"/>
      </w:pPr>
      <w:r>
        <w:t>11. NODA Control</w:t>
      </w:r>
    </w:p>
    <w:p>
      <w:pPr>
        <w:jc w:val="left"/>
      </w:pPr>
      <w:r>
        <w:rPr>
          <w:b w:val="0"/>
          <w:i w:val="0"/>
        </w:rPr>
        <w:t>NODA Control — наблюдательный и аналитический контур проекта. Он не имеет доступа к seed-фразам, приватным ключам или подписанию транзакций. Его задача — сравнивать текущее публичное состояние NODA с зафиксированным baseline и сигнализировать о существенных изменениях.</w:t>
      </w:r>
    </w:p>
    <w:p>
      <w:pPr>
        <w:pStyle w:val="ListBullet"/>
        <w:spacing w:after="40"/>
      </w:pPr>
      <w:r>
        <w:t>новые scam / malicious / honeypot / unsafe предупреждения;</w:t>
      </w:r>
    </w:p>
    <w:p>
      <w:pPr>
        <w:pStyle w:val="ListBullet"/>
        <w:spacing w:after="40"/>
      </w:pPr>
      <w:r>
        <w:t>изменение BscScan Exact Match или статуса карточек трекеров;</w:t>
      </w:r>
    </w:p>
    <w:p>
      <w:pPr>
        <w:pStyle w:val="ListBullet"/>
        <w:spacing w:after="40"/>
      </w:pPr>
      <w:r>
        <w:t>движение ≥210 млн NODA из проектного кошелька;</w:t>
      </w:r>
    </w:p>
    <w:p>
      <w:pPr>
        <w:pStyle w:val="ListBullet"/>
        <w:spacing w:after="40"/>
      </w:pPr>
      <w:r>
        <w:t>существенное изменение концентрации держателей;</w:t>
      </w:r>
    </w:p>
    <w:p>
      <w:pPr>
        <w:pStyle w:val="ListBullet"/>
        <w:spacing w:after="40"/>
      </w:pPr>
      <w:r>
        <w:t>существенное снижение ликвидности;</w:t>
      </w:r>
    </w:p>
    <w:p>
      <w:pPr>
        <w:pStyle w:val="ListBullet"/>
        <w:spacing w:after="40"/>
      </w:pPr>
      <w:r>
        <w:t>выход V3-позиции за диапазон 0,979–0,981;</w:t>
      </w:r>
    </w:p>
    <w:p>
      <w:pPr>
        <w:pStyle w:val="ListBullet"/>
        <w:spacing w:after="40"/>
      </w:pPr>
      <w:r>
        <w:t>несоответствие названия, тикера, контракта, сайта или социальных каналов.</w:t>
      </w:r>
    </w:p>
    <w:p>
      <w:pPr>
        <w:pStyle w:val="Heading1"/>
      </w:pPr>
      <w:r>
        <w:t>12. Аудит и безопасность</w:t>
      </w:r>
    </w:p>
    <w:p>
      <w:pPr>
        <w:jc w:val="left"/>
      </w:pPr>
      <w:r>
        <w:rPr>
          <w:b w:val="0"/>
          <w:i w:val="0"/>
        </w:rPr>
        <w:t>На дату Whitepaper v1.1 независимый аудит смарт-контракта имеет статус planned / pending. BscScan Exact Match подтверждает соответствие опубликованного исходного кода развёрнутому байткоду, но не является независимым аудиторским заключением. После завершения аудита его исполнитель, дата, версия проверенного кода и ссылка на опубликованный отчёт должны быть добавлены в следующую редакцию Whitepaper.</w:t>
      </w:r>
    </w:p>
    <w:p>
      <w:pPr>
        <w:pStyle w:val="Heading1"/>
      </w:pPr>
      <w:r>
        <w:t>13. Основные риски</w:t>
      </w:r>
    </w:p>
    <w:p>
      <w:pPr>
        <w:pStyle w:val="ListBullet"/>
        <w:spacing w:after="40"/>
      </w:pPr>
      <w:r>
        <w:t>Ключевой риск кошельков: компрометация приватных ключей проектных адресов.</w:t>
      </w:r>
    </w:p>
    <w:p>
      <w:pPr>
        <w:pStyle w:val="ListBullet"/>
        <w:spacing w:after="40"/>
      </w:pPr>
      <w:r>
        <w:t>Риск концентрации: значительная часть выпуска находится на проектных адресах и может повышать automated risk scores.</w:t>
      </w:r>
    </w:p>
    <w:p>
      <w:pPr>
        <w:pStyle w:val="ListBullet"/>
        <w:spacing w:after="40"/>
      </w:pPr>
      <w:r>
        <w:t>Риск ликвидности: активная DEX-ликвидность мала относительно общего выпуска, а рабочий V3-диапазон узкий.</w:t>
      </w:r>
    </w:p>
    <w:p>
      <w:pPr>
        <w:pStyle w:val="ListBullet"/>
        <w:spacing w:after="40"/>
      </w:pPr>
      <w:r>
        <w:t>Смарт-контрактный риск: контракт не upgradeable; обнаруженная после деплоя ошибка не может быть исправлена обновлением логики.</w:t>
      </w:r>
    </w:p>
    <w:p>
      <w:pPr>
        <w:pStyle w:val="ListBullet"/>
        <w:spacing w:after="40"/>
      </w:pPr>
      <w:r>
        <w:t>Риск внешних сервисов: метрики, рейтинги и предупреждения трекеров могут меняться независимо от кода проекта.</w:t>
      </w:r>
    </w:p>
    <w:p>
      <w:pPr>
        <w:pStyle w:val="ListBullet"/>
        <w:spacing w:after="40"/>
      </w:pPr>
      <w:r>
        <w:t>Регуляторный риск: правовой режим цифровых активов зависит от юрисдикции пользователя и может изменяться.</w:t>
      </w:r>
    </w:p>
    <w:p>
      <w:r>
        <w:br w:type="page"/>
      </w:r>
    </w:p>
    <w:p>
      <w:pPr>
        <w:pStyle w:val="Heading1"/>
      </w:pPr>
      <w:r>
        <w:t>14. Roadmap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Этап</w:t>
            </w:r>
          </w:p>
        </w:tc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Содержание</w:t>
            </w:r>
          </w:p>
        </w:tc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Статус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I. Предзапуск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Деплой, Exact Match, распределение, базовая DEX-инфраструктура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Выполнено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II. Публичный запуск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Официальная дата запуска NODA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 октября 2026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III. Публичная идентификация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Сайт, Telegram, X, BscScan, GeckoTerminal, CMC DEX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Запущено / развивается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IV. Документация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Tokenomics v1.1 и Whitepaper Public Release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Выполнено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V. Трекеры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Полная верификация CoinMarketCap / CoinGecko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Следующий этап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VI. Независимый аудит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Проверка и публикация отчёта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Planned / pending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VII. Масштабирование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Рост ликвидности, интеграции и дополнительные рынки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После базовой публичной верификации</w:t>
            </w:r>
          </w:p>
        </w:tc>
      </w:tr>
    </w:tbl>
    <w:p>
      <w:pPr>
        <w:pStyle w:val="Heading1"/>
      </w:pPr>
      <w:r>
        <w:t>15. Управление версиями</w:t>
      </w:r>
    </w:p>
    <w:p>
      <w:pPr>
        <w:jc w:val="left"/>
      </w:pPr>
      <w:r>
        <w:rPr>
          <w:b w:val="0"/>
          <w:i w:val="0"/>
        </w:rPr>
        <w:t>Изменения, затрагивающие supply, распределение, vesting, назначение проектных кошельков, circulating supply policy, liquidity policy или официальные адреса, публикуются в новой версии Tokenomics и Whitepaper с указанием даты. Изменение документа не изменяет техническую логику уже развёрнутого контракта.</w:t>
      </w:r>
    </w:p>
    <w:p>
      <w:pPr>
        <w:pStyle w:val="Heading1"/>
      </w:pPr>
      <w:r>
        <w:t>16. Юридические и рыночные оговорки</w:t>
      </w:r>
    </w:p>
    <w:p>
      <w:pPr>
        <w:jc w:val="left"/>
      </w:pPr>
      <w:r>
        <w:rPr>
          <w:b w:val="0"/>
          <w:i w:val="0"/>
        </w:rPr>
        <w:t>Настоящий Whitepaper является техническим и информационным документом. Он не является инвестиционной рекомендацией, публичной офертой, обещанием доходности, гарантией цены, гарантией ликвидности или обязательством выкупа NODA.</w:t>
      </w:r>
    </w:p>
    <w:p>
      <w:pPr>
        <w:jc w:val="left"/>
      </w:pPr>
      <w:r>
        <w:rPr>
          <w:b w:val="0"/>
          <w:i w:val="0"/>
        </w:rPr>
        <w:t>Наличие сайта с доменным именем nodabank.ru, использование слова NODA или иных проектных обозначений не должно трактоваться как самостоятельное заявление о наличии банковской лицензии, статуса кредитной организации, платёжной системы либо другого регулируемого финансового разрешения. Любой такой статус может считаться подтверждённым только при наличии соответствующего официального правового основания и публикации подтверждающих сведений.</w:t>
      </w:r>
    </w:p>
    <w:p>
      <w:pPr>
        <w:jc w:val="left"/>
      </w:pPr>
      <w:r>
        <w:rPr>
          <w:b w:val="0"/>
          <w:i w:val="0"/>
        </w:rPr>
        <w:t>Пользователи самостоятельно оценивают законодательные, налоговые, санкционные и иные требования своей юрисдикции. DEX-торговля несёт рыночные и ликвидностные риски.</w:t>
      </w:r>
    </w:p>
    <w:p>
      <w:pPr>
        <w:pStyle w:val="Heading1"/>
        <w:pageBreakBefore/>
      </w:pPr>
      <w:r>
        <w:t>Приложение A. Проектные адреса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Назначение</w:t>
            </w:r>
          </w:p>
        </w:tc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Адрес</w:t>
            </w:r>
          </w:p>
        </w:tc>
        <w:tc>
          <w:tcPr>
            <w:tcW w:type="dxa" w:w="3427"/>
            <w:shd w:fill="E9EEF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rial" w:hAnsi="Arial"/>
                <w:b/>
                <w:sz w:val="16"/>
              </w:rPr>
              <w:t>Публичная метка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Creator / deployer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0x22d67ed1B816Cf792702C512b93CC2f1b8eDdbFe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noda.bnb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Treasury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0x3DaeE1CC81497F060AE41f3460C03fD493279180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nodatreasury.bnb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Reserve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0xE16aEdc8376c5A00E62AdaA1555A3AFd6308bA61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noda-reserv.bnb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Liquidity allocation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0xe6dEbc238e255E68eE7f49d59F8B49E1e37E0465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noda-liquidity.bnb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Ecosystem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0xc4479E47d85c5E8d396ad2f66749151D400804cb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noda-ecosystem.bnb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Team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0x34cF0E4768b09d42cF0045F974c0240f5C11d50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noda-team.bnb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Strategic / Operational Reserve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0x95f074CFB5d9032Cf1AD3C5A7394C2D54e41D133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noda-treasury1.bnb</w:t>
            </w:r>
          </w:p>
        </w:tc>
      </w:tr>
      <w:tr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PancakeSwap V3 pool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0x2e8225eF29e0A2C928B9feFD53f9B6F359938Cf1</w:t>
            </w:r>
          </w:p>
        </w:tc>
        <w:tc>
          <w:tcPr>
            <w:tcW w:type="dxa" w:w="342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NODA/USDT</w:t>
            </w:r>
          </w:p>
        </w:tc>
      </w:tr>
    </w:tbl>
    <w:sectPr>
      <w:footerReference w:type="default" r:id="rId10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NODA • Whitepaper v1.1 Public Release • 10.09.2026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2293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2293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22934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22934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