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400800" cy="2150269"/>
            <wp:docPr id="1" name="Picture 1"/>
            <wp:cNvGraphicFramePr>
              <a:graphicFrameLocks noChangeAspect="1"/>
            </wp:cNvGraphicFramePr>
            <a:graphic>
              <a:graphicData uri="http://schemas.openxmlformats.org/drawingml/2006/picture">
                <pic:pic>
                  <pic:nvPicPr>
                    <pic:cNvPr id="0" name="ChatGPT Image 8 сент. 2026 г., 17_54_58(1).png"/>
                    <pic:cNvPicPr/>
                  </pic:nvPicPr>
                  <pic:blipFill>
                    <a:blip r:embed="rId9"/>
                    <a:stretch>
                      <a:fillRect/>
                    </a:stretch>
                  </pic:blipFill>
                  <pic:spPr>
                    <a:xfrm>
                      <a:off x="0" y="0"/>
                      <a:ext cx="6400800" cy="2150269"/>
                    </a:xfrm>
                    <a:prstGeom prst="rect"/>
                  </pic:spPr>
                </pic:pic>
              </a:graphicData>
            </a:graphic>
          </wp:inline>
        </w:drawing>
      </w:r>
    </w:p>
    <w:p>
      <w:pPr>
        <w:jc w:val="center"/>
      </w:pPr>
      <w:r>
        <w:rPr>
          <w:rFonts w:ascii="Arial" w:hAnsi="Arial"/>
          <w:b/>
          <w:sz w:val="62"/>
        </w:rPr>
        <w:t>NODA</w:t>
      </w:r>
    </w:p>
    <w:p>
      <w:pPr>
        <w:jc w:val="center"/>
      </w:pPr>
      <w:r>
        <w:rPr>
          <w:b/>
          <w:sz w:val="42"/>
        </w:rPr>
        <w:t>WHITEPAPER v1.1</w:t>
      </w:r>
    </w:p>
    <w:p>
      <w:pPr>
        <w:jc w:val="center"/>
      </w:pPr>
      <w:r>
        <w:rPr>
          <w:b/>
          <w:sz w:val="24"/>
        </w:rPr>
        <w:t>PUBLIC RELEASE</w:t>
      </w:r>
    </w:p>
    <w:p>
      <w:pPr>
        <w:jc w:val="center"/>
      </w:pPr>
      <w:r>
        <w:rPr>
          <w:i/>
          <w:sz w:val="22"/>
        </w:rPr>
        <w:t>BNB Smart Chain • Fixed Supply • Digital Token Infrastructure</w:t>
      </w:r>
    </w:p>
    <w:tbl>
      <w:tblPr>
        <w:tblStyle w:val="TableGrid"/>
        <w:tblW w:type="auto" w:w="0"/>
        <w:jc w:val="center"/>
        <w:tblLook w:firstColumn="1" w:firstRow="1" w:lastColumn="0" w:lastRow="0" w:noHBand="0" w:noVBand="1" w:val="04A0"/>
      </w:tblPr>
      <w:tblGrid>
        <w:gridCol w:w="5141"/>
        <w:gridCol w:w="5141"/>
      </w:tblGrid>
      <w:tr>
        <w:tc>
          <w:tcPr>
            <w:tcW w:type="dxa" w:w="5141"/>
            <w:shd w:fill="E9EEF5"/>
            <w:tcMar>
              <w:top w:w="70" w:type="dxa"/>
              <w:start w:w="90" w:type="dxa"/>
              <w:bottom w:w="70" w:type="dxa"/>
              <w:end w:w="90" w:type="dxa"/>
            </w:tcMar>
          </w:tcPr>
          <w:p>
            <w:r>
              <w:rPr>
                <w:rFonts w:ascii="Arial" w:hAnsi="Arial"/>
                <w:b/>
                <w:sz w:val="16"/>
              </w:rPr>
              <w:t>Parameter</w:t>
            </w:r>
          </w:p>
        </w:tc>
        <w:tc>
          <w:tcPr>
            <w:tcW w:type="dxa" w:w="5141"/>
            <w:shd w:fill="E9EEF5"/>
            <w:tcMar>
              <w:top w:w="70" w:type="dxa"/>
              <w:start w:w="90" w:type="dxa"/>
              <w:bottom w:w="70" w:type="dxa"/>
              <w:end w:w="90" w:type="dxa"/>
            </w:tcMar>
          </w:tcPr>
          <w:p>
            <w:r>
              <w:rPr>
                <w:rFonts w:ascii="Arial" w:hAnsi="Arial"/>
                <w:b/>
                <w:sz w:val="16"/>
              </w:rPr>
              <w:t>Value</w:t>
            </w:r>
          </w:p>
        </w:tc>
      </w:tr>
      <w:tr>
        <w:tc>
          <w:tcPr>
            <w:tcW w:type="dxa" w:w="5141"/>
            <w:tcMar>
              <w:top w:w="70" w:type="dxa"/>
              <w:start w:w="90" w:type="dxa"/>
              <w:bottom w:w="70" w:type="dxa"/>
              <w:end w:w="90" w:type="dxa"/>
            </w:tcMar>
            <w:vAlign w:val="center"/>
          </w:tcPr>
          <w:p>
            <w:pPr>
              <w:spacing w:after="0"/>
            </w:pPr>
            <w:r>
              <w:rPr>
                <w:rFonts w:ascii="Arial" w:hAnsi="Arial"/>
                <w:sz w:val="16"/>
              </w:rPr>
              <w:t>Token / ticker</w:t>
            </w:r>
          </w:p>
        </w:tc>
        <w:tc>
          <w:tcPr>
            <w:tcW w:type="dxa" w:w="5141"/>
            <w:tcMar>
              <w:top w:w="70" w:type="dxa"/>
              <w:start w:w="90" w:type="dxa"/>
              <w:bottom w:w="70" w:type="dxa"/>
              <w:end w:w="90" w:type="dxa"/>
            </w:tcMar>
            <w:vAlign w:val="center"/>
          </w:tcPr>
          <w:p>
            <w:pPr>
              <w:spacing w:after="0"/>
            </w:pPr>
            <w:r>
              <w:rPr>
                <w:rFonts w:ascii="Arial" w:hAnsi="Arial"/>
                <w:sz w:val="16"/>
              </w:rPr>
              <w:t>NODA / NODA</w:t>
            </w:r>
          </w:p>
        </w:tc>
      </w:tr>
      <w:tr>
        <w:tc>
          <w:tcPr>
            <w:tcW w:type="dxa" w:w="5141"/>
            <w:tcMar>
              <w:top w:w="70" w:type="dxa"/>
              <w:start w:w="90" w:type="dxa"/>
              <w:bottom w:w="70" w:type="dxa"/>
              <w:end w:w="90" w:type="dxa"/>
            </w:tcMar>
            <w:vAlign w:val="center"/>
          </w:tcPr>
          <w:p>
            <w:pPr>
              <w:spacing w:after="0"/>
            </w:pPr>
            <w:r>
              <w:rPr>
                <w:rFonts w:ascii="Arial" w:hAnsi="Arial"/>
                <w:sz w:val="16"/>
              </w:rPr>
              <w:t>Network</w:t>
            </w:r>
          </w:p>
        </w:tc>
        <w:tc>
          <w:tcPr>
            <w:tcW w:type="dxa" w:w="5141"/>
            <w:tcMar>
              <w:top w:w="70" w:type="dxa"/>
              <w:start w:w="90" w:type="dxa"/>
              <w:bottom w:w="70" w:type="dxa"/>
              <w:end w:w="90" w:type="dxa"/>
            </w:tcMar>
            <w:vAlign w:val="center"/>
          </w:tcPr>
          <w:p>
            <w:pPr>
              <w:spacing w:after="0"/>
            </w:pPr>
            <w:r>
              <w:rPr>
                <w:rFonts w:ascii="Arial" w:hAnsi="Arial"/>
                <w:sz w:val="16"/>
              </w:rPr>
              <w:t>BNB Smart Chain (BSC)</w:t>
            </w:r>
          </w:p>
        </w:tc>
      </w:tr>
      <w:tr>
        <w:tc>
          <w:tcPr>
            <w:tcW w:type="dxa" w:w="5141"/>
            <w:tcMar>
              <w:top w:w="70" w:type="dxa"/>
              <w:start w:w="90" w:type="dxa"/>
              <w:bottom w:w="70" w:type="dxa"/>
              <w:end w:w="90" w:type="dxa"/>
            </w:tcMar>
            <w:vAlign w:val="center"/>
          </w:tcPr>
          <w:p>
            <w:pPr>
              <w:spacing w:after="0"/>
            </w:pPr>
            <w:r>
              <w:rPr>
                <w:rFonts w:ascii="Arial" w:hAnsi="Arial"/>
                <w:sz w:val="16"/>
              </w:rPr>
              <w:t>Smart contract</w:t>
            </w:r>
          </w:p>
        </w:tc>
        <w:tc>
          <w:tcPr>
            <w:tcW w:type="dxa" w:w="5141"/>
            <w:tcMar>
              <w:top w:w="70" w:type="dxa"/>
              <w:start w:w="90" w:type="dxa"/>
              <w:bottom w:w="70" w:type="dxa"/>
              <w:end w:w="90" w:type="dxa"/>
            </w:tcMar>
            <w:vAlign w:val="center"/>
          </w:tcPr>
          <w:p>
            <w:pPr>
              <w:spacing w:after="0"/>
            </w:pPr>
            <w:r>
              <w:rPr>
                <w:rFonts w:ascii="Arial" w:hAnsi="Arial"/>
                <w:sz w:val="16"/>
              </w:rPr>
              <w:t>0x34027b8aab4daf79df81b470df05357c465bada6</w:t>
            </w:r>
          </w:p>
        </w:tc>
      </w:tr>
      <w:tr>
        <w:tc>
          <w:tcPr>
            <w:tcW w:type="dxa" w:w="5141"/>
            <w:tcMar>
              <w:top w:w="70" w:type="dxa"/>
              <w:start w:w="90" w:type="dxa"/>
              <w:bottom w:w="70" w:type="dxa"/>
              <w:end w:w="90" w:type="dxa"/>
            </w:tcMar>
            <w:vAlign w:val="center"/>
          </w:tcPr>
          <w:p>
            <w:pPr>
              <w:spacing w:after="0"/>
            </w:pPr>
            <w:r>
              <w:rPr>
                <w:rFonts w:ascii="Arial" w:hAnsi="Arial"/>
                <w:sz w:val="16"/>
              </w:rPr>
              <w:t>Total supply</w:t>
            </w:r>
          </w:p>
        </w:tc>
        <w:tc>
          <w:tcPr>
            <w:tcW w:type="dxa" w:w="5141"/>
            <w:tcMar>
              <w:top w:w="70" w:type="dxa"/>
              <w:start w:w="90" w:type="dxa"/>
              <w:bottom w:w="70" w:type="dxa"/>
              <w:end w:w="90" w:type="dxa"/>
            </w:tcMar>
            <w:vAlign w:val="center"/>
          </w:tcPr>
          <w:p>
            <w:pPr>
              <w:spacing w:after="0"/>
            </w:pPr>
            <w:r>
              <w:rPr>
                <w:rFonts w:ascii="Arial" w:hAnsi="Arial"/>
                <w:sz w:val="16"/>
              </w:rPr>
              <w:t>21,000,000,000 NODA</w:t>
            </w:r>
          </w:p>
        </w:tc>
      </w:tr>
      <w:tr>
        <w:tc>
          <w:tcPr>
            <w:tcW w:type="dxa" w:w="5141"/>
            <w:tcMar>
              <w:top w:w="70" w:type="dxa"/>
              <w:start w:w="90" w:type="dxa"/>
              <w:bottom w:w="70" w:type="dxa"/>
              <w:end w:w="90" w:type="dxa"/>
            </w:tcMar>
            <w:vAlign w:val="center"/>
          </w:tcPr>
          <w:p>
            <w:pPr>
              <w:spacing w:after="0"/>
            </w:pPr>
            <w:r>
              <w:rPr>
                <w:rFonts w:ascii="Arial" w:hAnsi="Arial"/>
                <w:sz w:val="16"/>
              </w:rPr>
              <w:t>Decimals</w:t>
            </w:r>
          </w:p>
        </w:tc>
        <w:tc>
          <w:tcPr>
            <w:tcW w:type="dxa" w:w="5141"/>
            <w:tcMar>
              <w:top w:w="70" w:type="dxa"/>
              <w:start w:w="90" w:type="dxa"/>
              <w:bottom w:w="70" w:type="dxa"/>
              <w:end w:w="90" w:type="dxa"/>
            </w:tcMar>
            <w:vAlign w:val="center"/>
          </w:tcPr>
          <w:p>
            <w:pPr>
              <w:spacing w:after="0"/>
            </w:pPr>
            <w:r>
              <w:rPr>
                <w:rFonts w:ascii="Arial" w:hAnsi="Arial"/>
                <w:sz w:val="16"/>
              </w:rPr>
              <w:t>18</w:t>
            </w:r>
          </w:p>
        </w:tc>
      </w:tr>
      <w:tr>
        <w:tc>
          <w:tcPr>
            <w:tcW w:type="dxa" w:w="5141"/>
            <w:tcMar>
              <w:top w:w="70" w:type="dxa"/>
              <w:start w:w="90" w:type="dxa"/>
              <w:bottom w:w="70" w:type="dxa"/>
              <w:end w:w="90" w:type="dxa"/>
            </w:tcMar>
            <w:vAlign w:val="center"/>
          </w:tcPr>
          <w:p>
            <w:pPr>
              <w:spacing w:after="0"/>
            </w:pPr>
            <w:r>
              <w:rPr>
                <w:rFonts w:ascii="Arial" w:hAnsi="Arial"/>
                <w:sz w:val="16"/>
              </w:rPr>
              <w:t>Creator / deployer</w:t>
            </w:r>
          </w:p>
        </w:tc>
        <w:tc>
          <w:tcPr>
            <w:tcW w:type="dxa" w:w="5141"/>
            <w:tcMar>
              <w:top w:w="70" w:type="dxa"/>
              <w:start w:w="90" w:type="dxa"/>
              <w:bottom w:w="70" w:type="dxa"/>
              <w:end w:w="90" w:type="dxa"/>
            </w:tcMar>
            <w:vAlign w:val="center"/>
          </w:tcPr>
          <w:p>
            <w:pPr>
              <w:spacing w:after="0"/>
            </w:pPr>
            <w:r>
              <w:rPr>
                <w:rFonts w:ascii="Arial" w:hAnsi="Arial"/>
                <w:sz w:val="16"/>
              </w:rPr>
              <w:t>0x22d67ed1B816Cf792702C512b93CC2f1b8eDdbFe</w:t>
            </w:r>
          </w:p>
        </w:tc>
      </w:tr>
      <w:tr>
        <w:tc>
          <w:tcPr>
            <w:tcW w:type="dxa" w:w="5141"/>
            <w:tcMar>
              <w:top w:w="70" w:type="dxa"/>
              <w:start w:w="90" w:type="dxa"/>
              <w:bottom w:w="70" w:type="dxa"/>
              <w:end w:w="90" w:type="dxa"/>
            </w:tcMar>
            <w:vAlign w:val="center"/>
          </w:tcPr>
          <w:p>
            <w:pPr>
              <w:spacing w:after="0"/>
            </w:pPr>
            <w:r>
              <w:rPr>
                <w:rFonts w:ascii="Arial" w:hAnsi="Arial"/>
                <w:sz w:val="16"/>
              </w:rPr>
              <w:t>Official launch date</w:t>
            </w:r>
          </w:p>
        </w:tc>
        <w:tc>
          <w:tcPr>
            <w:tcW w:type="dxa" w:w="5141"/>
            <w:tcMar>
              <w:top w:w="70" w:type="dxa"/>
              <w:start w:w="90" w:type="dxa"/>
              <w:bottom w:w="70" w:type="dxa"/>
              <w:end w:w="90" w:type="dxa"/>
            </w:tcMar>
            <w:vAlign w:val="center"/>
          </w:tcPr>
          <w:p>
            <w:pPr>
              <w:spacing w:after="0"/>
            </w:pPr>
            <w:r>
              <w:rPr>
                <w:rFonts w:ascii="Arial" w:hAnsi="Arial"/>
                <w:sz w:val="16"/>
              </w:rPr>
              <w:t>1 October 2026</w:t>
            </w:r>
          </w:p>
        </w:tc>
      </w:tr>
      <w:tr>
        <w:tc>
          <w:tcPr>
            <w:tcW w:type="dxa" w:w="5141"/>
            <w:tcMar>
              <w:top w:w="70" w:type="dxa"/>
              <w:start w:w="90" w:type="dxa"/>
              <w:bottom w:w="70" w:type="dxa"/>
              <w:end w:w="90" w:type="dxa"/>
            </w:tcMar>
            <w:vAlign w:val="center"/>
          </w:tcPr>
          <w:p>
            <w:pPr>
              <w:spacing w:after="0"/>
            </w:pPr>
            <w:r>
              <w:rPr>
                <w:rFonts w:ascii="Arial" w:hAnsi="Arial"/>
                <w:sz w:val="16"/>
              </w:rPr>
              <w:t>Primary DEX market</w:t>
            </w:r>
          </w:p>
        </w:tc>
        <w:tc>
          <w:tcPr>
            <w:tcW w:type="dxa" w:w="5141"/>
            <w:tcMar>
              <w:top w:w="70" w:type="dxa"/>
              <w:start w:w="90" w:type="dxa"/>
              <w:bottom w:w="70" w:type="dxa"/>
              <w:end w:w="90" w:type="dxa"/>
            </w:tcMar>
            <w:vAlign w:val="center"/>
          </w:tcPr>
          <w:p>
            <w:pPr>
              <w:spacing w:after="0"/>
            </w:pPr>
            <w:r>
              <w:rPr>
                <w:rFonts w:ascii="Arial" w:hAnsi="Arial"/>
                <w:sz w:val="16"/>
              </w:rPr>
              <w:t>PancakeSwap V3 — NODA/USDT</w:t>
            </w:r>
          </w:p>
        </w:tc>
      </w:tr>
    </w:tbl>
    <w:p>
      <w:pPr>
        <w:jc w:val="center"/>
      </w:pPr>
      <w:r>
        <w:rPr>
          <w:b w:val="0"/>
          <w:i/>
        </w:rPr>
        <w:t>Public Release • 10 September 2026</w:t>
      </w:r>
    </w:p>
    <w:p>
      <w:r>
        <w:br w:type="page"/>
      </w:r>
    </w:p>
    <w:p>
      <w:pPr>
        <w:pStyle w:val="Heading1"/>
      </w:pPr>
      <w:r>
        <w:t>Contents</w:t>
      </w:r>
    </w:p>
    <w:p>
      <w:pPr>
        <w:pStyle w:val="ListBullet"/>
        <w:spacing w:after="40"/>
      </w:pPr>
      <w:r>
        <w:t>1. Project overview</w:t>
      </w:r>
    </w:p>
    <w:p>
      <w:pPr>
        <w:pStyle w:val="ListBullet"/>
        <w:spacing w:after="40"/>
      </w:pPr>
      <w:r>
        <w:t>2. Purpose and intended use</w:t>
      </w:r>
    </w:p>
    <w:p>
      <w:pPr>
        <w:pStyle w:val="ListBullet"/>
        <w:spacing w:after="40"/>
      </w:pPr>
      <w:r>
        <w:t>3. Blockchain architecture</w:t>
      </w:r>
    </w:p>
    <w:p>
      <w:pPr>
        <w:pStyle w:val="ListBullet"/>
        <w:spacing w:after="40"/>
      </w:pPr>
      <w:r>
        <w:t>4. Smart contract and trust model</w:t>
      </w:r>
    </w:p>
    <w:p>
      <w:pPr>
        <w:pStyle w:val="ListBullet"/>
        <w:spacing w:after="40"/>
      </w:pPr>
      <w:r>
        <w:t>5. Supply and economic model</w:t>
      </w:r>
    </w:p>
    <w:p>
      <w:pPr>
        <w:pStyle w:val="ListBullet"/>
        <w:spacing w:after="40"/>
      </w:pPr>
      <w:r>
        <w:t>6. Token allocation</w:t>
      </w:r>
    </w:p>
    <w:p>
      <w:pPr>
        <w:pStyle w:val="ListBullet"/>
        <w:spacing w:after="40"/>
      </w:pPr>
      <w:r>
        <w:t>7. Vesting and reserve policies</w:t>
      </w:r>
    </w:p>
    <w:p>
      <w:pPr>
        <w:pStyle w:val="ListBullet"/>
        <w:spacing w:after="40"/>
      </w:pPr>
      <w:r>
        <w:t>8. Market liquidity and PancakeSwap V3</w:t>
      </w:r>
    </w:p>
    <w:p>
      <w:pPr>
        <w:pStyle w:val="ListBullet"/>
        <w:spacing w:after="40"/>
      </w:pPr>
      <w:r>
        <w:t>9. Circulating supply methodology</w:t>
      </w:r>
    </w:p>
    <w:p>
      <w:pPr>
        <w:pStyle w:val="ListBullet"/>
        <w:spacing w:after="40"/>
      </w:pPr>
      <w:r>
        <w:t>10. Public infrastructure and data sources</w:t>
      </w:r>
    </w:p>
    <w:p>
      <w:pPr>
        <w:pStyle w:val="ListBullet"/>
        <w:spacing w:after="40"/>
      </w:pPr>
      <w:r>
        <w:t>11. NODA Control — monitoring system</w:t>
      </w:r>
    </w:p>
    <w:p>
      <w:pPr>
        <w:pStyle w:val="ListBullet"/>
        <w:spacing w:after="40"/>
      </w:pPr>
      <w:r>
        <w:t>12. Security and key risks</w:t>
      </w:r>
    </w:p>
    <w:p>
      <w:pPr>
        <w:pStyle w:val="ListBullet"/>
        <w:spacing w:after="40" w:before="80"/>
      </w:pPr>
      <w:r>
        <w:t>13. Roadmap</w:t>
      </w:r>
    </w:p>
    <w:p>
      <w:pPr>
        <w:pStyle w:val="ListBullet"/>
        <w:spacing w:after="40" w:before="80"/>
      </w:pPr>
      <w:r>
        <w:t>14. Document governance</w:t>
      </w:r>
    </w:p>
    <w:p>
      <w:pPr>
        <w:pStyle w:val="ListBullet"/>
        <w:spacing w:after="40" w:before="80"/>
      </w:pPr>
      <w:r>
        <w:t>15. Legal and market disclosures</w:t>
      </w:r>
    </w:p>
    <w:p>
      <w:pPr>
        <w:pStyle w:val="Heading1"/>
      </w:pPr>
      <w:r>
        <w:t>Document status</w:t>
      </w:r>
    </w:p>
    <w:p>
      <w:pPr>
        <w:jc w:val="left"/>
      </w:pPr>
      <w:r>
        <w:rPr>
          <w:b w:val="0"/>
          <w:i w:val="0"/>
        </w:rPr>
        <w:t>This Whitepaper describes the confirmed technical and tokenomic configuration of NODA as of the publication date. It is intended as the official public reference for the project. Information regarding licenses, regulated financial permissions, or completed independent audit results is included only where formally confirmed. The independent smart-contract audit is planned / pending and no completed audit is claimed in this version.</w:t>
      </w:r>
    </w:p>
    <w:p>
      <w:pPr>
        <w:pStyle w:val="Heading1"/>
      </w:pPr>
      <w:r>
        <w:t>1. Project overview</w:t>
      </w:r>
    </w:p>
    <w:p>
      <w:pPr>
        <w:jc w:val="left"/>
      </w:pPr>
      <w:r>
        <w:rPr>
          <w:b w:val="0"/>
          <w:i w:val="0"/>
        </w:rPr>
        <w:t>NODA is a BEP-20 digital token deployed on BNB Smart Chain with a permanently fixed maximum supply of 21 billion tokens. The smart-contract architecture is intentionally simple: after the initial issuance, the contract does not provide a public additional mint function, administrative balance controls, blacklist functionality, pause functionality, transfer tax, or upgradeability.</w:t>
      </w:r>
    </w:p>
    <w:p>
      <w:pPr>
        <w:jc w:val="left"/>
      </w:pPr>
      <w:r>
        <w:rPr>
          <w:b w:val="0"/>
          <w:i w:val="0"/>
        </w:rPr>
        <w:t>This model is designed to keep the base token layer predictable at the code level while moving project governance into transparent allocation policies, segregated project wallets, public disclosures and continuous monitoring.</w:t>
      </w:r>
    </w:p>
    <w:p>
      <w:pPr>
        <w:jc w:val="left"/>
      </w:pPr>
      <w:r>
        <w:rPr>
          <w:b w:val="0"/>
          <w:i w:val="0"/>
        </w:rPr>
        <w:t>Project allocations are separated into Treasury, Reserve, Liquidity, Ecosystem, Team and Strategic / Operational Reserve wallets. Their purposes and usage policies are defined in NODA Tokenomics v1.1 and summarized in this Whitepaper.</w:t>
      </w:r>
    </w:p>
    <w:p>
      <w:pPr>
        <w:pStyle w:val="Heading1"/>
      </w:pPr>
      <w:r>
        <w:t>2. Purpose and intended use</w:t>
      </w:r>
    </w:p>
    <w:p>
      <w:pPr>
        <w:jc w:val="left"/>
      </w:pPr>
      <w:r>
        <w:rPr>
          <w:b w:val="0"/>
          <w:i w:val="0"/>
        </w:rPr>
        <w:t>NODA is designed as a digital token for use within a developing ecosystem and public blockchain infrastructure. Its technical design supports transfers between compatible BNB Smart Chain addresses and use in decentralized-liquidity environments.</w:t>
      </w:r>
    </w:p>
    <w:p>
      <w:pPr>
        <w:jc w:val="left"/>
      </w:pPr>
      <w:r>
        <w:rPr>
          <w:b w:val="0"/>
          <w:i w:val="0"/>
        </w:rPr>
        <w:t>The currently confirmed public functional scope includes:</w:t>
      </w:r>
    </w:p>
    <w:p>
      <w:pPr>
        <w:pStyle w:val="ListBullet"/>
        <w:spacing w:after="40"/>
      </w:pPr>
      <w:r>
        <w:t>NODA transfers on BNB Smart Chain;</w:t>
      </w:r>
    </w:p>
    <w:p>
      <w:pPr>
        <w:pStyle w:val="ListBullet"/>
        <w:spacing w:after="40"/>
      </w:pPr>
      <w:r>
        <w:t>storage in compatible EVM wallets;</w:t>
      </w:r>
    </w:p>
    <w:p>
      <w:pPr>
        <w:pStyle w:val="ListBullet"/>
        <w:spacing w:after="40"/>
      </w:pPr>
      <w:r>
        <w:t>public on-chain verification of supply and balances;</w:t>
      </w:r>
    </w:p>
    <w:p>
      <w:pPr>
        <w:pStyle w:val="ListBullet"/>
        <w:spacing w:after="40"/>
      </w:pPr>
      <w:r>
        <w:t>the NODA/USDT trading pair on PancakeSwap V3;</w:t>
      </w:r>
    </w:p>
    <w:p>
      <w:pPr>
        <w:pStyle w:val="ListBullet"/>
        <w:spacing w:after="40"/>
      </w:pPr>
      <w:r>
        <w:t>segregated project reserves held on dedicated addresses;</w:t>
      </w:r>
    </w:p>
    <w:p>
      <w:pPr>
        <w:pStyle w:val="ListBullet"/>
        <w:spacing w:after="40"/>
      </w:pPr>
      <w:r>
        <w:t>project monitoring through NODA Control.</w:t>
      </w:r>
    </w:p>
    <w:p>
      <w:pPr>
        <w:jc w:val="left"/>
      </w:pPr>
      <w:r>
        <w:rPr>
          <w:b w:val="0"/>
          <w:i w:val="0"/>
        </w:rPr>
        <w:t>This Whitepaper does not claim a guaranteed exchange rate, fixed return, mandatory redemption mechanism or guaranteed liquidity.</w:t>
      </w:r>
    </w:p>
    <w:p>
      <w:r>
        <w:br w:type="page"/>
      </w:r>
    </w:p>
    <w:p>
      <w:pPr>
        <w:pStyle w:val="Heading1"/>
      </w:pPr>
      <w:r>
        <w:t>3. Blockchain architecture</w:t>
      </w:r>
    </w:p>
    <w:tbl>
      <w:tblPr>
        <w:tblStyle w:val="TableGrid"/>
        <w:tblW w:type="auto" w:w="0"/>
        <w:jc w:val="center"/>
        <w:tblLook w:firstColumn="1" w:firstRow="1" w:lastColumn="0" w:lastRow="0" w:noHBand="0" w:noVBand="1" w:val="04A0"/>
      </w:tblPr>
      <w:tblGrid>
        <w:gridCol w:w="5141"/>
        <w:gridCol w:w="5141"/>
      </w:tblGrid>
      <w:tr>
        <w:tc>
          <w:tcPr>
            <w:tcW w:type="dxa" w:w="5141"/>
            <w:shd w:fill="E9EEF5"/>
            <w:tcMar>
              <w:top w:w="70" w:type="dxa"/>
              <w:start w:w="90" w:type="dxa"/>
              <w:bottom w:w="70" w:type="dxa"/>
              <w:end w:w="90" w:type="dxa"/>
            </w:tcMar>
          </w:tcPr>
          <w:p>
            <w:r>
              <w:rPr>
                <w:rFonts w:ascii="Arial" w:hAnsi="Arial"/>
                <w:b/>
                <w:sz w:val="16"/>
              </w:rPr>
              <w:t>Component</w:t>
            </w:r>
          </w:p>
        </w:tc>
        <w:tc>
          <w:tcPr>
            <w:tcW w:type="dxa" w:w="5141"/>
            <w:shd w:fill="E9EEF5"/>
            <w:tcMar>
              <w:top w:w="70" w:type="dxa"/>
              <w:start w:w="90" w:type="dxa"/>
              <w:bottom w:w="70" w:type="dxa"/>
              <w:end w:w="90" w:type="dxa"/>
            </w:tcMar>
          </w:tcPr>
          <w:p>
            <w:r>
              <w:rPr>
                <w:rFonts w:ascii="Arial" w:hAnsi="Arial"/>
                <w:b/>
                <w:sz w:val="16"/>
              </w:rPr>
              <w:t>Parameter</w:t>
            </w:r>
          </w:p>
        </w:tc>
      </w:tr>
      <w:tr>
        <w:tc>
          <w:tcPr>
            <w:tcW w:type="dxa" w:w="5141"/>
            <w:tcMar>
              <w:top w:w="70" w:type="dxa"/>
              <w:start w:w="90" w:type="dxa"/>
              <w:bottom w:w="70" w:type="dxa"/>
              <w:end w:w="90" w:type="dxa"/>
            </w:tcMar>
            <w:vAlign w:val="center"/>
          </w:tcPr>
          <w:p>
            <w:pPr>
              <w:spacing w:after="0"/>
            </w:pPr>
            <w:r>
              <w:rPr>
                <w:rFonts w:ascii="Arial" w:hAnsi="Arial"/>
                <w:sz w:val="16"/>
              </w:rPr>
              <w:t>Blockchain</w:t>
            </w:r>
          </w:p>
        </w:tc>
        <w:tc>
          <w:tcPr>
            <w:tcW w:type="dxa" w:w="5141"/>
            <w:tcMar>
              <w:top w:w="70" w:type="dxa"/>
              <w:start w:w="90" w:type="dxa"/>
              <w:bottom w:w="70" w:type="dxa"/>
              <w:end w:w="90" w:type="dxa"/>
            </w:tcMar>
            <w:vAlign w:val="center"/>
          </w:tcPr>
          <w:p>
            <w:pPr>
              <w:spacing w:after="0"/>
            </w:pPr>
            <w:r>
              <w:rPr>
                <w:rFonts w:ascii="Arial" w:hAnsi="Arial"/>
                <w:sz w:val="16"/>
              </w:rPr>
              <w:t>BNB Smart Chain</w:t>
            </w:r>
          </w:p>
        </w:tc>
      </w:tr>
      <w:tr>
        <w:tc>
          <w:tcPr>
            <w:tcW w:type="dxa" w:w="5141"/>
            <w:tcMar>
              <w:top w:w="70" w:type="dxa"/>
              <w:start w:w="90" w:type="dxa"/>
              <w:bottom w:w="70" w:type="dxa"/>
              <w:end w:w="90" w:type="dxa"/>
            </w:tcMar>
            <w:vAlign w:val="center"/>
          </w:tcPr>
          <w:p>
            <w:pPr>
              <w:spacing w:after="0"/>
            </w:pPr>
            <w:r>
              <w:rPr>
                <w:rFonts w:ascii="Arial" w:hAnsi="Arial"/>
                <w:sz w:val="16"/>
              </w:rPr>
              <w:t>Standard</w:t>
            </w:r>
          </w:p>
        </w:tc>
        <w:tc>
          <w:tcPr>
            <w:tcW w:type="dxa" w:w="5141"/>
            <w:tcMar>
              <w:top w:w="70" w:type="dxa"/>
              <w:start w:w="90" w:type="dxa"/>
              <w:bottom w:w="70" w:type="dxa"/>
              <w:end w:w="90" w:type="dxa"/>
            </w:tcMar>
            <w:vAlign w:val="center"/>
          </w:tcPr>
          <w:p>
            <w:pPr>
              <w:spacing w:after="0"/>
            </w:pPr>
            <w:r>
              <w:rPr>
                <w:rFonts w:ascii="Arial" w:hAnsi="Arial"/>
                <w:sz w:val="16"/>
              </w:rPr>
              <w:t>BEP-20 / ERC-20 compatible</w:t>
            </w:r>
          </w:p>
        </w:tc>
      </w:tr>
      <w:tr>
        <w:tc>
          <w:tcPr>
            <w:tcW w:type="dxa" w:w="5141"/>
            <w:tcMar>
              <w:top w:w="70" w:type="dxa"/>
              <w:start w:w="90" w:type="dxa"/>
              <w:bottom w:w="70" w:type="dxa"/>
              <w:end w:w="90" w:type="dxa"/>
            </w:tcMar>
            <w:vAlign w:val="center"/>
          </w:tcPr>
          <w:p>
            <w:pPr>
              <w:spacing w:after="0"/>
            </w:pPr>
            <w:r>
              <w:rPr>
                <w:rFonts w:ascii="Arial" w:hAnsi="Arial"/>
                <w:sz w:val="16"/>
              </w:rPr>
              <w:t>Contract</w:t>
            </w:r>
          </w:p>
        </w:tc>
        <w:tc>
          <w:tcPr>
            <w:tcW w:type="dxa" w:w="5141"/>
            <w:tcMar>
              <w:top w:w="70" w:type="dxa"/>
              <w:start w:w="90" w:type="dxa"/>
              <w:bottom w:w="70" w:type="dxa"/>
              <w:end w:w="90" w:type="dxa"/>
            </w:tcMar>
            <w:vAlign w:val="center"/>
          </w:tcPr>
          <w:p>
            <w:pPr>
              <w:spacing w:after="0"/>
            </w:pPr>
            <w:r>
              <w:rPr>
                <w:rFonts w:ascii="Arial" w:hAnsi="Arial"/>
                <w:sz w:val="16"/>
              </w:rPr>
              <w:t>0x34027b8aab4daf79df81b470df05357c465bada6</w:t>
            </w:r>
          </w:p>
        </w:tc>
      </w:tr>
      <w:tr>
        <w:tc>
          <w:tcPr>
            <w:tcW w:type="dxa" w:w="5141"/>
            <w:tcMar>
              <w:top w:w="70" w:type="dxa"/>
              <w:start w:w="90" w:type="dxa"/>
              <w:bottom w:w="70" w:type="dxa"/>
              <w:end w:w="90" w:type="dxa"/>
            </w:tcMar>
            <w:vAlign w:val="center"/>
          </w:tcPr>
          <w:p>
            <w:pPr>
              <w:spacing w:after="0"/>
            </w:pPr>
            <w:r>
              <w:rPr>
                <w:rFonts w:ascii="Arial" w:hAnsi="Arial"/>
                <w:sz w:val="16"/>
              </w:rPr>
              <w:t>Name</w:t>
            </w:r>
          </w:p>
        </w:tc>
        <w:tc>
          <w:tcPr>
            <w:tcW w:type="dxa" w:w="5141"/>
            <w:tcMar>
              <w:top w:w="70" w:type="dxa"/>
              <w:start w:w="90" w:type="dxa"/>
              <w:bottom w:w="70" w:type="dxa"/>
              <w:end w:w="90" w:type="dxa"/>
            </w:tcMar>
            <w:vAlign w:val="center"/>
          </w:tcPr>
          <w:p>
            <w:pPr>
              <w:spacing w:after="0"/>
            </w:pPr>
            <w:r>
              <w:rPr>
                <w:rFonts w:ascii="Arial" w:hAnsi="Arial"/>
                <w:sz w:val="16"/>
              </w:rPr>
              <w:t>NODA</w:t>
            </w:r>
          </w:p>
        </w:tc>
      </w:tr>
      <w:tr>
        <w:tc>
          <w:tcPr>
            <w:tcW w:type="dxa" w:w="5141"/>
            <w:tcMar>
              <w:top w:w="70" w:type="dxa"/>
              <w:start w:w="90" w:type="dxa"/>
              <w:bottom w:w="70" w:type="dxa"/>
              <w:end w:w="90" w:type="dxa"/>
            </w:tcMar>
            <w:vAlign w:val="center"/>
          </w:tcPr>
          <w:p>
            <w:pPr>
              <w:spacing w:after="0"/>
            </w:pPr>
            <w:r>
              <w:rPr>
                <w:rFonts w:ascii="Arial" w:hAnsi="Arial"/>
                <w:sz w:val="16"/>
              </w:rPr>
              <w:t>Ticker</w:t>
            </w:r>
          </w:p>
        </w:tc>
        <w:tc>
          <w:tcPr>
            <w:tcW w:type="dxa" w:w="5141"/>
            <w:tcMar>
              <w:top w:w="70" w:type="dxa"/>
              <w:start w:w="90" w:type="dxa"/>
              <w:bottom w:w="70" w:type="dxa"/>
              <w:end w:w="90" w:type="dxa"/>
            </w:tcMar>
            <w:vAlign w:val="center"/>
          </w:tcPr>
          <w:p>
            <w:pPr>
              <w:spacing w:after="0"/>
            </w:pPr>
            <w:r>
              <w:rPr>
                <w:rFonts w:ascii="Arial" w:hAnsi="Arial"/>
                <w:sz w:val="16"/>
              </w:rPr>
              <w:t>NODA</w:t>
            </w:r>
          </w:p>
        </w:tc>
      </w:tr>
      <w:tr>
        <w:tc>
          <w:tcPr>
            <w:tcW w:type="dxa" w:w="5141"/>
            <w:tcMar>
              <w:top w:w="70" w:type="dxa"/>
              <w:start w:w="90" w:type="dxa"/>
              <w:bottom w:w="70" w:type="dxa"/>
              <w:end w:w="90" w:type="dxa"/>
            </w:tcMar>
            <w:vAlign w:val="center"/>
          </w:tcPr>
          <w:p>
            <w:pPr>
              <w:spacing w:after="0"/>
            </w:pPr>
            <w:r>
              <w:rPr>
                <w:rFonts w:ascii="Arial" w:hAnsi="Arial"/>
                <w:sz w:val="16"/>
              </w:rPr>
              <w:t>Decimals</w:t>
            </w:r>
          </w:p>
        </w:tc>
        <w:tc>
          <w:tcPr>
            <w:tcW w:type="dxa" w:w="5141"/>
            <w:tcMar>
              <w:top w:w="70" w:type="dxa"/>
              <w:start w:w="90" w:type="dxa"/>
              <w:bottom w:w="70" w:type="dxa"/>
              <w:end w:w="90" w:type="dxa"/>
            </w:tcMar>
            <w:vAlign w:val="center"/>
          </w:tcPr>
          <w:p>
            <w:pPr>
              <w:spacing w:after="0"/>
            </w:pPr>
            <w:r>
              <w:rPr>
                <w:rFonts w:ascii="Arial" w:hAnsi="Arial"/>
                <w:sz w:val="16"/>
              </w:rPr>
              <w:t>18</w:t>
            </w:r>
          </w:p>
        </w:tc>
      </w:tr>
      <w:tr>
        <w:tc>
          <w:tcPr>
            <w:tcW w:type="dxa" w:w="5141"/>
            <w:tcMar>
              <w:top w:w="70" w:type="dxa"/>
              <w:start w:w="90" w:type="dxa"/>
              <w:bottom w:w="70" w:type="dxa"/>
              <w:end w:w="90" w:type="dxa"/>
            </w:tcMar>
            <w:vAlign w:val="center"/>
          </w:tcPr>
          <w:p>
            <w:pPr>
              <w:spacing w:after="0"/>
            </w:pPr>
            <w:r>
              <w:rPr>
                <w:rFonts w:ascii="Arial" w:hAnsi="Arial"/>
                <w:sz w:val="16"/>
              </w:rPr>
              <w:t>Total Supply</w:t>
            </w:r>
          </w:p>
        </w:tc>
        <w:tc>
          <w:tcPr>
            <w:tcW w:type="dxa" w:w="5141"/>
            <w:tcMar>
              <w:top w:w="70" w:type="dxa"/>
              <w:start w:w="90" w:type="dxa"/>
              <w:bottom w:w="70" w:type="dxa"/>
              <w:end w:w="90" w:type="dxa"/>
            </w:tcMar>
            <w:vAlign w:val="center"/>
          </w:tcPr>
          <w:p>
            <w:pPr>
              <w:spacing w:after="0"/>
            </w:pPr>
            <w:r>
              <w:rPr>
                <w:rFonts w:ascii="Arial" w:hAnsi="Arial"/>
                <w:sz w:val="16"/>
              </w:rPr>
              <w:t>21,000,000,000 NODA</w:t>
            </w:r>
          </w:p>
        </w:tc>
      </w:tr>
      <w:tr>
        <w:tc>
          <w:tcPr>
            <w:tcW w:type="dxa" w:w="5141"/>
            <w:tcMar>
              <w:top w:w="70" w:type="dxa"/>
              <w:start w:w="90" w:type="dxa"/>
              <w:bottom w:w="70" w:type="dxa"/>
              <w:end w:w="90" w:type="dxa"/>
            </w:tcMar>
            <w:vAlign w:val="center"/>
          </w:tcPr>
          <w:p>
            <w:pPr>
              <w:spacing w:after="0"/>
            </w:pPr>
            <w:r>
              <w:rPr>
                <w:rFonts w:ascii="Arial" w:hAnsi="Arial"/>
                <w:sz w:val="16"/>
              </w:rPr>
              <w:t>Source verification</w:t>
            </w:r>
          </w:p>
        </w:tc>
        <w:tc>
          <w:tcPr>
            <w:tcW w:type="dxa" w:w="5141"/>
            <w:tcMar>
              <w:top w:w="70" w:type="dxa"/>
              <w:start w:w="90" w:type="dxa"/>
              <w:bottom w:w="70" w:type="dxa"/>
              <w:end w:w="90" w:type="dxa"/>
            </w:tcMar>
            <w:vAlign w:val="center"/>
          </w:tcPr>
          <w:p>
            <w:pPr>
              <w:spacing w:after="0"/>
            </w:pPr>
            <w:r>
              <w:rPr>
                <w:rFonts w:ascii="Arial" w:hAnsi="Arial"/>
                <w:sz w:val="16"/>
              </w:rPr>
              <w:t>BscScan Source Code Verified — Exact Match</w:t>
            </w:r>
          </w:p>
        </w:tc>
      </w:tr>
      <w:tr>
        <w:tc>
          <w:tcPr>
            <w:tcW w:type="dxa" w:w="5141"/>
            <w:tcMar>
              <w:top w:w="70" w:type="dxa"/>
              <w:start w:w="90" w:type="dxa"/>
              <w:bottom w:w="70" w:type="dxa"/>
              <w:end w:w="90" w:type="dxa"/>
            </w:tcMar>
            <w:vAlign w:val="center"/>
          </w:tcPr>
          <w:p>
            <w:pPr>
              <w:spacing w:after="0"/>
            </w:pPr>
            <w:r>
              <w:rPr>
                <w:rFonts w:ascii="Arial" w:hAnsi="Arial"/>
                <w:sz w:val="16"/>
              </w:rPr>
              <w:t>Compiler</w:t>
            </w:r>
          </w:p>
        </w:tc>
        <w:tc>
          <w:tcPr>
            <w:tcW w:type="dxa" w:w="5141"/>
            <w:tcMar>
              <w:top w:w="70" w:type="dxa"/>
              <w:start w:w="90" w:type="dxa"/>
              <w:bottom w:w="70" w:type="dxa"/>
              <w:end w:w="90" w:type="dxa"/>
            </w:tcMar>
            <w:vAlign w:val="center"/>
          </w:tcPr>
          <w:p>
            <w:pPr>
              <w:spacing w:after="0"/>
            </w:pPr>
            <w:r>
              <w:rPr>
                <w:rFonts w:ascii="Arial" w:hAnsi="Arial"/>
                <w:sz w:val="16"/>
              </w:rPr>
              <w:t>Solidity 0.8.24</w:t>
            </w:r>
          </w:p>
        </w:tc>
      </w:tr>
    </w:tbl>
    <w:p>
      <w:pPr>
        <w:jc w:val="left"/>
      </w:pPr>
      <w:r>
        <w:rPr>
          <w:b w:val="0"/>
          <w:i w:val="0"/>
        </w:rPr>
        <w:t>BNB Smart Chain provides an EVM-compatible environment with standard wallet support, public blockchain explorers and decentralized exchange infrastructure. Core NODA parameters can be independently verified directly on-chain.</w:t>
      </w:r>
    </w:p>
    <w:p>
      <w:pPr>
        <w:pStyle w:val="Heading1"/>
      </w:pPr>
      <w:r>
        <w:t>4. Smart contract and trust model</w:t>
      </w:r>
    </w:p>
    <w:p>
      <w:pPr>
        <w:jc w:val="left"/>
      </w:pPr>
      <w:r>
        <w:rPr>
          <w:b w:val="0"/>
          <w:i w:val="0"/>
        </w:rPr>
        <w:t>The NODA contract source code is verified on BscScan as an Exact Match. The deployed contract follows a fixed-supply ERC-20 model.</w:t>
      </w:r>
    </w:p>
    <w:p>
      <w:pPr>
        <w:pStyle w:val="ListBullet"/>
        <w:spacing w:after="40"/>
      </w:pPr>
      <w:r>
        <w:t>The initial supply is created once at deployment.</w:t>
      </w:r>
    </w:p>
    <w:p>
      <w:pPr>
        <w:pStyle w:val="ListBullet"/>
        <w:spacing w:after="40"/>
      </w:pPr>
      <w:r>
        <w:t>No public additional mint function is present.</w:t>
      </w:r>
    </w:p>
    <w:p>
      <w:pPr>
        <w:pStyle w:val="ListBullet"/>
        <w:spacing w:after="40"/>
      </w:pPr>
      <w:r>
        <w:t>No separate owner/admin control mechanism is present.</w:t>
      </w:r>
    </w:p>
    <w:p>
      <w:pPr>
        <w:pStyle w:val="ListBullet"/>
        <w:spacing w:after="40"/>
      </w:pPr>
      <w:r>
        <w:t>No blacklist function is present.</w:t>
      </w:r>
    </w:p>
    <w:p>
      <w:pPr>
        <w:pStyle w:val="ListBullet"/>
        <w:spacing w:after="40"/>
      </w:pPr>
      <w:r>
        <w:t>No pause function is present.</w:t>
      </w:r>
    </w:p>
    <w:p>
      <w:pPr>
        <w:pStyle w:val="ListBullet"/>
        <w:spacing w:after="40"/>
      </w:pPr>
      <w:r>
        <w:t>No project burn function is present.</w:t>
      </w:r>
    </w:p>
    <w:p>
      <w:pPr>
        <w:pStyle w:val="ListBullet"/>
        <w:spacing w:after="40"/>
      </w:pPr>
      <w:r>
        <w:t>No transfer tax or transfer fee is present.</w:t>
      </w:r>
    </w:p>
    <w:p>
      <w:pPr>
        <w:pStyle w:val="ListBullet"/>
        <w:spacing w:after="40"/>
      </w:pPr>
      <w:r>
        <w:t>The contract is not upgradeable.</w:t>
      </w:r>
    </w:p>
    <w:p>
      <w:pPr>
        <w:jc w:val="left"/>
      </w:pPr>
      <w:r>
        <w:rPr>
          <w:b w:val="0"/>
          <w:i w:val="0"/>
        </w:rPr>
        <w:t>This reduces the class of administrative risks associated with later changes to token logic or arbitrary transfer restrictions. At the same time, the architecture means the deployed code cannot be repaired through a proxy upgrade, so project-wallet key security and the quality of the original contract remain critical.</w:t>
      </w:r>
    </w:p>
    <w:p>
      <w:pPr>
        <w:pStyle w:val="Heading1"/>
      </w:pPr>
      <w:r>
        <w:t>5. Supply and economic model</w:t>
      </w:r>
    </w:p>
    <w:p>
      <w:pPr>
        <w:jc w:val="left"/>
      </w:pPr>
      <w:r>
        <w:rPr>
          <w:b w:val="0"/>
          <w:i w:val="0"/>
        </w:rPr>
        <w:t>The maximum NODA supply is permanently fixed at 21,000,000,000 tokens. The current contract does not provide for further issuance beyond this amount.</w:t>
      </w:r>
    </w:p>
    <w:p>
      <w:pPr>
        <w:jc w:val="left"/>
      </w:pPr>
      <w:r>
        <w:rPr>
          <w:b w:val="0"/>
          <w:i w:val="0"/>
        </w:rPr>
        <w:t>The economic model therefore relies on management of pre-existing allocations rather than future inflationary issuance. Relevant metrics include total supply, circulating supply, actual market liquidity, reserve movements and compliance with published allocation rules.</w:t>
      </w:r>
    </w:p>
    <w:p>
      <w:pPr>
        <w:pStyle w:val="Heading1"/>
      </w:pPr>
      <w:r>
        <w:t>6. Token allocation</w:t>
      </w:r>
    </w:p>
    <w:tbl>
      <w:tblPr>
        <w:tblStyle w:val="TableGrid"/>
        <w:tblW w:type="auto" w:w="0"/>
        <w:jc w:val="center"/>
        <w:tblLook w:firstColumn="1" w:firstRow="1" w:lastColumn="0" w:lastRow="0" w:noHBand="0" w:noVBand="1" w:val="04A0"/>
      </w:tblPr>
      <w:tblGrid>
        <w:gridCol w:w="3427"/>
        <w:gridCol w:w="3427"/>
        <w:gridCol w:w="3427"/>
      </w:tblGrid>
      <w:tr>
        <w:tc>
          <w:tcPr>
            <w:tcW w:type="dxa" w:w="3427"/>
            <w:shd w:fill="E9EEF5"/>
            <w:tcMar>
              <w:top w:w="70" w:type="dxa"/>
              <w:start w:w="90" w:type="dxa"/>
              <w:bottom w:w="70" w:type="dxa"/>
              <w:end w:w="90" w:type="dxa"/>
            </w:tcMar>
          </w:tcPr>
          <w:p>
            <w:r>
              <w:rPr>
                <w:rFonts w:ascii="Arial" w:hAnsi="Arial"/>
                <w:b/>
                <w:sz w:val="16"/>
              </w:rPr>
              <w:t>Allocation</w:t>
            </w:r>
          </w:p>
        </w:tc>
        <w:tc>
          <w:tcPr>
            <w:tcW w:type="dxa" w:w="3427"/>
            <w:shd w:fill="E9EEF5"/>
            <w:tcMar>
              <w:top w:w="70" w:type="dxa"/>
              <w:start w:w="90" w:type="dxa"/>
              <w:bottom w:w="70" w:type="dxa"/>
              <w:end w:w="90" w:type="dxa"/>
            </w:tcMar>
          </w:tcPr>
          <w:p>
            <w:r>
              <w:rPr>
                <w:rFonts w:ascii="Arial" w:hAnsi="Arial"/>
                <w:b/>
                <w:sz w:val="16"/>
              </w:rPr>
              <w:t>Amount</w:t>
            </w:r>
          </w:p>
        </w:tc>
        <w:tc>
          <w:tcPr>
            <w:tcW w:type="dxa" w:w="3427"/>
            <w:shd w:fill="E9EEF5"/>
            <w:tcMar>
              <w:top w:w="70" w:type="dxa"/>
              <w:start w:w="90" w:type="dxa"/>
              <w:bottom w:w="70" w:type="dxa"/>
              <w:end w:w="90" w:type="dxa"/>
            </w:tcMar>
          </w:tcPr>
          <w:p>
            <w:r>
              <w:rPr>
                <w:rFonts w:ascii="Arial" w:hAnsi="Arial"/>
                <w:b/>
                <w:sz w:val="16"/>
              </w:rPr>
              <w:t>Share</w:t>
            </w:r>
          </w:p>
        </w:tc>
      </w:tr>
      <w:tr>
        <w:tc>
          <w:tcPr>
            <w:tcW w:type="dxa" w:w="3427"/>
            <w:tcMar>
              <w:top w:w="70" w:type="dxa"/>
              <w:start w:w="90" w:type="dxa"/>
              <w:bottom w:w="70" w:type="dxa"/>
              <w:end w:w="90" w:type="dxa"/>
            </w:tcMar>
            <w:vAlign w:val="center"/>
          </w:tcPr>
          <w:p>
            <w:pPr>
              <w:spacing w:after="0"/>
            </w:pPr>
            <w:r>
              <w:rPr>
                <w:rFonts w:ascii="Arial" w:hAnsi="Arial"/>
                <w:sz w:val="16"/>
              </w:rPr>
              <w:t>Treasury</w:t>
            </w:r>
          </w:p>
        </w:tc>
        <w:tc>
          <w:tcPr>
            <w:tcW w:type="dxa" w:w="3427"/>
            <w:tcMar>
              <w:top w:w="70" w:type="dxa"/>
              <w:start w:w="90" w:type="dxa"/>
              <w:bottom w:w="70" w:type="dxa"/>
              <w:end w:w="90" w:type="dxa"/>
            </w:tcMar>
            <w:vAlign w:val="center"/>
          </w:tcPr>
          <w:p>
            <w:pPr>
              <w:spacing w:after="0"/>
            </w:pPr>
            <w:r>
              <w:rPr>
                <w:rFonts w:ascii="Arial" w:hAnsi="Arial"/>
                <w:sz w:val="16"/>
              </w:rPr>
              <w:t>8,000,000,000 NODA</w:t>
            </w:r>
          </w:p>
        </w:tc>
        <w:tc>
          <w:tcPr>
            <w:tcW w:type="dxa" w:w="3427"/>
            <w:tcMar>
              <w:top w:w="70" w:type="dxa"/>
              <w:start w:w="90" w:type="dxa"/>
              <w:bottom w:w="70" w:type="dxa"/>
              <w:end w:w="90" w:type="dxa"/>
            </w:tcMar>
            <w:vAlign w:val="center"/>
          </w:tcPr>
          <w:p>
            <w:pPr>
              <w:spacing w:after="0"/>
            </w:pPr>
            <w:r>
              <w:rPr>
                <w:rFonts w:ascii="Arial" w:hAnsi="Arial"/>
                <w:sz w:val="16"/>
              </w:rPr>
              <w:t>38.0952%</w:t>
            </w:r>
          </w:p>
        </w:tc>
      </w:tr>
      <w:tr>
        <w:tc>
          <w:tcPr>
            <w:tcW w:type="dxa" w:w="3427"/>
            <w:tcMar>
              <w:top w:w="70" w:type="dxa"/>
              <w:start w:w="90" w:type="dxa"/>
              <w:bottom w:w="70" w:type="dxa"/>
              <w:end w:w="90" w:type="dxa"/>
            </w:tcMar>
            <w:vAlign w:val="center"/>
          </w:tcPr>
          <w:p>
            <w:pPr>
              <w:spacing w:after="0"/>
            </w:pPr>
            <w:r>
              <w:rPr>
                <w:rFonts w:ascii="Arial" w:hAnsi="Arial"/>
                <w:sz w:val="16"/>
              </w:rPr>
              <w:t>Reserve</w:t>
            </w:r>
          </w:p>
        </w:tc>
        <w:tc>
          <w:tcPr>
            <w:tcW w:type="dxa" w:w="3427"/>
            <w:tcMar>
              <w:top w:w="70" w:type="dxa"/>
              <w:start w:w="90" w:type="dxa"/>
              <w:bottom w:w="70" w:type="dxa"/>
              <w:end w:w="90" w:type="dxa"/>
            </w:tcMar>
            <w:vAlign w:val="center"/>
          </w:tcPr>
          <w:p>
            <w:pPr>
              <w:spacing w:after="0"/>
            </w:pPr>
            <w:r>
              <w:rPr>
                <w:rFonts w:ascii="Arial" w:hAnsi="Arial"/>
                <w:sz w:val="16"/>
              </w:rPr>
              <w:t>7,000,000,000 NODA</w:t>
            </w:r>
          </w:p>
        </w:tc>
        <w:tc>
          <w:tcPr>
            <w:tcW w:type="dxa" w:w="3427"/>
            <w:tcMar>
              <w:top w:w="70" w:type="dxa"/>
              <w:start w:w="90" w:type="dxa"/>
              <w:bottom w:w="70" w:type="dxa"/>
              <w:end w:w="90" w:type="dxa"/>
            </w:tcMar>
            <w:vAlign w:val="center"/>
          </w:tcPr>
          <w:p>
            <w:pPr>
              <w:spacing w:after="0"/>
            </w:pPr>
            <w:r>
              <w:rPr>
                <w:rFonts w:ascii="Arial" w:hAnsi="Arial"/>
                <w:sz w:val="16"/>
              </w:rPr>
              <w:t>33.3333%</w:t>
            </w:r>
          </w:p>
        </w:tc>
      </w:tr>
      <w:tr>
        <w:tc>
          <w:tcPr>
            <w:tcW w:type="dxa" w:w="3427"/>
            <w:tcMar>
              <w:top w:w="70" w:type="dxa"/>
              <w:start w:w="90" w:type="dxa"/>
              <w:bottom w:w="70" w:type="dxa"/>
              <w:end w:w="90" w:type="dxa"/>
            </w:tcMar>
            <w:vAlign w:val="center"/>
          </w:tcPr>
          <w:p>
            <w:pPr>
              <w:spacing w:after="0"/>
            </w:pPr>
            <w:r>
              <w:rPr>
                <w:rFonts w:ascii="Arial" w:hAnsi="Arial"/>
                <w:sz w:val="16"/>
              </w:rPr>
              <w:t>Liquidity</w:t>
            </w:r>
          </w:p>
        </w:tc>
        <w:tc>
          <w:tcPr>
            <w:tcW w:type="dxa" w:w="3427"/>
            <w:tcMar>
              <w:top w:w="70" w:type="dxa"/>
              <w:start w:w="90" w:type="dxa"/>
              <w:bottom w:w="70" w:type="dxa"/>
              <w:end w:w="90" w:type="dxa"/>
            </w:tcMar>
            <w:vAlign w:val="center"/>
          </w:tcPr>
          <w:p>
            <w:pPr>
              <w:spacing w:after="0"/>
            </w:pPr>
            <w:r>
              <w:rPr>
                <w:rFonts w:ascii="Arial" w:hAnsi="Arial"/>
                <w:sz w:val="16"/>
              </w:rPr>
              <w:t>3,000,000,000 NODA</w:t>
            </w:r>
          </w:p>
        </w:tc>
        <w:tc>
          <w:tcPr>
            <w:tcW w:type="dxa" w:w="3427"/>
            <w:tcMar>
              <w:top w:w="70" w:type="dxa"/>
              <w:start w:w="90" w:type="dxa"/>
              <w:bottom w:w="70" w:type="dxa"/>
              <w:end w:w="90" w:type="dxa"/>
            </w:tcMar>
            <w:vAlign w:val="center"/>
          </w:tcPr>
          <w:p>
            <w:pPr>
              <w:spacing w:after="0"/>
            </w:pPr>
            <w:r>
              <w:rPr>
                <w:rFonts w:ascii="Arial" w:hAnsi="Arial"/>
                <w:sz w:val="16"/>
              </w:rPr>
              <w:t>14.2857%</w:t>
            </w:r>
          </w:p>
        </w:tc>
      </w:tr>
      <w:tr>
        <w:tc>
          <w:tcPr>
            <w:tcW w:type="dxa" w:w="3427"/>
            <w:tcMar>
              <w:top w:w="70" w:type="dxa"/>
              <w:start w:w="90" w:type="dxa"/>
              <w:bottom w:w="70" w:type="dxa"/>
              <w:end w:w="90" w:type="dxa"/>
            </w:tcMar>
            <w:vAlign w:val="center"/>
          </w:tcPr>
          <w:p>
            <w:pPr>
              <w:spacing w:after="0"/>
            </w:pPr>
            <w:r>
              <w:rPr>
                <w:rFonts w:ascii="Arial" w:hAnsi="Arial"/>
                <w:sz w:val="16"/>
              </w:rPr>
              <w:t>Ecosystem</w:t>
            </w:r>
          </w:p>
        </w:tc>
        <w:tc>
          <w:tcPr>
            <w:tcW w:type="dxa" w:w="3427"/>
            <w:tcMar>
              <w:top w:w="70" w:type="dxa"/>
              <w:start w:w="90" w:type="dxa"/>
              <w:bottom w:w="70" w:type="dxa"/>
              <w:end w:w="90" w:type="dxa"/>
            </w:tcMar>
            <w:vAlign w:val="center"/>
          </w:tcPr>
          <w:p>
            <w:pPr>
              <w:spacing w:after="0"/>
            </w:pPr>
            <w:r>
              <w:rPr>
                <w:rFonts w:ascii="Arial" w:hAnsi="Arial"/>
                <w:sz w:val="16"/>
              </w:rPr>
              <w:t>1,500,000,000 NODA</w:t>
            </w:r>
          </w:p>
        </w:tc>
        <w:tc>
          <w:tcPr>
            <w:tcW w:type="dxa" w:w="3427"/>
            <w:tcMar>
              <w:top w:w="70" w:type="dxa"/>
              <w:start w:w="90" w:type="dxa"/>
              <w:bottom w:w="70" w:type="dxa"/>
              <w:end w:w="90" w:type="dxa"/>
            </w:tcMar>
            <w:vAlign w:val="center"/>
          </w:tcPr>
          <w:p>
            <w:pPr>
              <w:spacing w:after="0"/>
            </w:pPr>
            <w:r>
              <w:rPr>
                <w:rFonts w:ascii="Arial" w:hAnsi="Arial"/>
                <w:sz w:val="16"/>
              </w:rPr>
              <w:t>7.1429%</w:t>
            </w:r>
          </w:p>
        </w:tc>
      </w:tr>
      <w:tr>
        <w:tc>
          <w:tcPr>
            <w:tcW w:type="dxa" w:w="3427"/>
            <w:tcMar>
              <w:top w:w="70" w:type="dxa"/>
              <w:start w:w="90" w:type="dxa"/>
              <w:bottom w:w="70" w:type="dxa"/>
              <w:end w:w="90" w:type="dxa"/>
            </w:tcMar>
            <w:vAlign w:val="center"/>
          </w:tcPr>
          <w:p>
            <w:pPr>
              <w:spacing w:after="0"/>
            </w:pPr>
            <w:r>
              <w:rPr>
                <w:rFonts w:ascii="Arial" w:hAnsi="Arial"/>
                <w:sz w:val="16"/>
              </w:rPr>
              <w:t>Team</w:t>
            </w:r>
          </w:p>
        </w:tc>
        <w:tc>
          <w:tcPr>
            <w:tcW w:type="dxa" w:w="3427"/>
            <w:tcMar>
              <w:top w:w="70" w:type="dxa"/>
              <w:start w:w="90" w:type="dxa"/>
              <w:bottom w:w="70" w:type="dxa"/>
              <w:end w:w="90" w:type="dxa"/>
            </w:tcMar>
            <w:vAlign w:val="center"/>
          </w:tcPr>
          <w:p>
            <w:pPr>
              <w:spacing w:after="0"/>
            </w:pPr>
            <w:r>
              <w:rPr>
                <w:rFonts w:ascii="Arial" w:hAnsi="Arial"/>
                <w:sz w:val="16"/>
              </w:rPr>
              <w:t>999,999,011.5577 NODA</w:t>
            </w:r>
          </w:p>
        </w:tc>
        <w:tc>
          <w:tcPr>
            <w:tcW w:type="dxa" w:w="3427"/>
            <w:tcMar>
              <w:top w:w="70" w:type="dxa"/>
              <w:start w:w="90" w:type="dxa"/>
              <w:bottom w:w="70" w:type="dxa"/>
              <w:end w:w="90" w:type="dxa"/>
            </w:tcMar>
            <w:vAlign w:val="center"/>
          </w:tcPr>
          <w:p>
            <w:pPr>
              <w:spacing w:after="0"/>
            </w:pPr>
            <w:r>
              <w:rPr>
                <w:rFonts w:ascii="Arial" w:hAnsi="Arial"/>
                <w:sz w:val="16"/>
              </w:rPr>
              <w:t>4.7619%</w:t>
            </w:r>
          </w:p>
        </w:tc>
      </w:tr>
      <w:tr>
        <w:tc>
          <w:tcPr>
            <w:tcW w:type="dxa" w:w="3427"/>
            <w:tcMar>
              <w:top w:w="70" w:type="dxa"/>
              <w:start w:w="90" w:type="dxa"/>
              <w:bottom w:w="70" w:type="dxa"/>
              <w:end w:w="90" w:type="dxa"/>
            </w:tcMar>
            <w:vAlign w:val="center"/>
          </w:tcPr>
          <w:p>
            <w:pPr>
              <w:spacing w:after="0"/>
            </w:pPr>
            <w:r>
              <w:rPr>
                <w:rFonts w:ascii="Arial" w:hAnsi="Arial"/>
                <w:sz w:val="16"/>
              </w:rPr>
              <w:t>Strategic / Operational Reserve</w:t>
            </w:r>
          </w:p>
        </w:tc>
        <w:tc>
          <w:tcPr>
            <w:tcW w:type="dxa" w:w="3427"/>
            <w:tcMar>
              <w:top w:w="70" w:type="dxa"/>
              <w:start w:w="90" w:type="dxa"/>
              <w:bottom w:w="70" w:type="dxa"/>
              <w:end w:w="90" w:type="dxa"/>
            </w:tcMar>
            <w:vAlign w:val="center"/>
          </w:tcPr>
          <w:p>
            <w:pPr>
              <w:spacing w:after="0"/>
            </w:pPr>
            <w:r>
              <w:rPr>
                <w:rFonts w:ascii="Arial" w:hAnsi="Arial"/>
                <w:sz w:val="16"/>
              </w:rPr>
              <w:t>499,998,978.9017 NODA</w:t>
            </w:r>
          </w:p>
        </w:tc>
        <w:tc>
          <w:tcPr>
            <w:tcW w:type="dxa" w:w="3427"/>
            <w:tcMar>
              <w:top w:w="70" w:type="dxa"/>
              <w:start w:w="90" w:type="dxa"/>
              <w:bottom w:w="70" w:type="dxa"/>
              <w:end w:w="90" w:type="dxa"/>
            </w:tcMar>
            <w:vAlign w:val="center"/>
          </w:tcPr>
          <w:p>
            <w:pPr>
              <w:spacing w:after="0"/>
            </w:pPr>
            <w:r>
              <w:rPr>
                <w:rFonts w:ascii="Arial" w:hAnsi="Arial"/>
                <w:sz w:val="16"/>
              </w:rPr>
              <w:t>2.3809%</w:t>
            </w:r>
          </w:p>
        </w:tc>
      </w:tr>
    </w:tbl>
    <w:tbl>
      <w:tblPr>
        <w:tblStyle w:val="TableGrid"/>
        <w:tblW w:type="auto" w:w="0"/>
        <w:jc w:val="center"/>
        <w:tblLook w:firstColumn="1" w:firstRow="1" w:lastColumn="0" w:lastRow="0" w:noHBand="0" w:noVBand="1" w:val="04A0"/>
      </w:tblPr>
      <w:tblGrid>
        <w:gridCol w:w="3427"/>
        <w:gridCol w:w="3427"/>
        <w:gridCol w:w="3427"/>
      </w:tblGrid>
      <w:tr>
        <w:tc>
          <w:tcPr>
            <w:tcW w:type="dxa" w:w="3427"/>
            <w:shd w:fill="E9EEF5"/>
            <w:tcMar>
              <w:top w:w="70" w:type="dxa"/>
              <w:start w:w="90" w:type="dxa"/>
              <w:bottom w:w="70" w:type="dxa"/>
              <w:end w:w="90" w:type="dxa"/>
            </w:tcMar>
          </w:tcPr>
          <w:p>
            <w:r>
              <w:rPr>
                <w:rFonts w:ascii="Arial" w:hAnsi="Arial"/>
                <w:b/>
                <w:sz w:val="16"/>
              </w:rPr>
              <w:t>Allocation</w:t>
            </w:r>
          </w:p>
        </w:tc>
        <w:tc>
          <w:tcPr>
            <w:tcW w:type="dxa" w:w="3427"/>
            <w:shd w:fill="E9EEF5"/>
            <w:tcMar>
              <w:top w:w="70" w:type="dxa"/>
              <w:start w:w="90" w:type="dxa"/>
              <w:bottom w:w="70" w:type="dxa"/>
              <w:end w:w="90" w:type="dxa"/>
            </w:tcMar>
          </w:tcPr>
          <w:p>
            <w:r>
              <w:rPr>
                <w:rFonts w:ascii="Arial" w:hAnsi="Arial"/>
                <w:b/>
                <w:sz w:val="16"/>
              </w:rPr>
              <w:t>Wallet</w:t>
            </w:r>
          </w:p>
        </w:tc>
        <w:tc>
          <w:tcPr>
            <w:tcW w:type="dxa" w:w="3427"/>
            <w:shd w:fill="E9EEF5"/>
            <w:tcMar>
              <w:top w:w="70" w:type="dxa"/>
              <w:start w:w="90" w:type="dxa"/>
              <w:bottom w:w="70" w:type="dxa"/>
              <w:end w:w="90" w:type="dxa"/>
            </w:tcMar>
          </w:tcPr>
          <w:p>
            <w:r>
              <w:rPr>
                <w:rFonts w:ascii="Arial" w:hAnsi="Arial"/>
                <w:b/>
                <w:sz w:val="16"/>
              </w:rPr>
              <w:t>Public label</w:t>
            </w:r>
          </w:p>
        </w:tc>
      </w:tr>
      <w:tr>
        <w:tc>
          <w:tcPr>
            <w:tcW w:type="dxa" w:w="3427"/>
            <w:tcMar>
              <w:top w:w="70" w:type="dxa"/>
              <w:start w:w="90" w:type="dxa"/>
              <w:bottom w:w="70" w:type="dxa"/>
              <w:end w:w="90" w:type="dxa"/>
            </w:tcMar>
            <w:vAlign w:val="center"/>
          </w:tcPr>
          <w:p>
            <w:pPr>
              <w:spacing w:after="0"/>
            </w:pPr>
            <w:r>
              <w:rPr>
                <w:rFonts w:ascii="Arial" w:hAnsi="Arial"/>
                <w:sz w:val="16"/>
              </w:rPr>
              <w:t>Treasury</w:t>
            </w:r>
          </w:p>
        </w:tc>
        <w:tc>
          <w:tcPr>
            <w:tcW w:type="dxa" w:w="3427"/>
            <w:tcMar>
              <w:top w:w="70" w:type="dxa"/>
              <w:start w:w="90" w:type="dxa"/>
              <w:bottom w:w="70" w:type="dxa"/>
              <w:end w:w="90" w:type="dxa"/>
            </w:tcMar>
            <w:vAlign w:val="center"/>
          </w:tcPr>
          <w:p>
            <w:pPr>
              <w:spacing w:after="0"/>
            </w:pPr>
            <w:r>
              <w:rPr>
                <w:rFonts w:ascii="Arial" w:hAnsi="Arial"/>
                <w:sz w:val="16"/>
              </w:rPr>
              <w:t>0x3DaeE1CC81497F060AE41f3460C03fD493279180</w:t>
            </w:r>
          </w:p>
        </w:tc>
        <w:tc>
          <w:tcPr>
            <w:tcW w:type="dxa" w:w="3427"/>
            <w:tcMar>
              <w:top w:w="70" w:type="dxa"/>
              <w:start w:w="90" w:type="dxa"/>
              <w:bottom w:w="70" w:type="dxa"/>
              <w:end w:w="90" w:type="dxa"/>
            </w:tcMar>
            <w:vAlign w:val="center"/>
          </w:tcPr>
          <w:p>
            <w:pPr>
              <w:spacing w:after="0"/>
            </w:pPr>
            <w:r>
              <w:rPr>
                <w:rFonts w:ascii="Arial" w:hAnsi="Arial"/>
                <w:sz w:val="16"/>
              </w:rPr>
              <w:t>nodatreasury.bnb</w:t>
            </w:r>
          </w:p>
        </w:tc>
      </w:tr>
      <w:tr>
        <w:tc>
          <w:tcPr>
            <w:tcW w:type="dxa" w:w="3427"/>
            <w:tcMar>
              <w:top w:w="70" w:type="dxa"/>
              <w:start w:w="90" w:type="dxa"/>
              <w:bottom w:w="70" w:type="dxa"/>
              <w:end w:w="90" w:type="dxa"/>
            </w:tcMar>
            <w:vAlign w:val="center"/>
          </w:tcPr>
          <w:p>
            <w:pPr>
              <w:spacing w:after="0"/>
            </w:pPr>
            <w:r>
              <w:rPr>
                <w:rFonts w:ascii="Arial" w:hAnsi="Arial"/>
                <w:sz w:val="16"/>
              </w:rPr>
              <w:t>Reserve</w:t>
            </w:r>
          </w:p>
        </w:tc>
        <w:tc>
          <w:tcPr>
            <w:tcW w:type="dxa" w:w="3427"/>
            <w:tcMar>
              <w:top w:w="70" w:type="dxa"/>
              <w:start w:w="90" w:type="dxa"/>
              <w:bottom w:w="70" w:type="dxa"/>
              <w:end w:w="90" w:type="dxa"/>
            </w:tcMar>
            <w:vAlign w:val="center"/>
          </w:tcPr>
          <w:p>
            <w:pPr>
              <w:spacing w:after="0"/>
            </w:pPr>
            <w:r>
              <w:rPr>
                <w:rFonts w:ascii="Arial" w:hAnsi="Arial"/>
                <w:sz w:val="16"/>
              </w:rPr>
              <w:t>0xE16aEdc8376c5A00E62AdaA1555A3AFd6308bA61</w:t>
            </w:r>
          </w:p>
        </w:tc>
        <w:tc>
          <w:tcPr>
            <w:tcW w:type="dxa" w:w="3427"/>
            <w:tcMar>
              <w:top w:w="70" w:type="dxa"/>
              <w:start w:w="90" w:type="dxa"/>
              <w:bottom w:w="70" w:type="dxa"/>
              <w:end w:w="90" w:type="dxa"/>
            </w:tcMar>
            <w:vAlign w:val="center"/>
          </w:tcPr>
          <w:p>
            <w:pPr>
              <w:spacing w:after="0"/>
            </w:pPr>
            <w:r>
              <w:rPr>
                <w:rFonts w:ascii="Arial" w:hAnsi="Arial"/>
                <w:sz w:val="16"/>
              </w:rPr>
              <w:t>noda-reserv.bnb</w:t>
            </w:r>
          </w:p>
        </w:tc>
      </w:tr>
      <w:tr>
        <w:tc>
          <w:tcPr>
            <w:tcW w:type="dxa" w:w="3427"/>
            <w:tcMar>
              <w:top w:w="70" w:type="dxa"/>
              <w:start w:w="90" w:type="dxa"/>
              <w:bottom w:w="70" w:type="dxa"/>
              <w:end w:w="90" w:type="dxa"/>
            </w:tcMar>
            <w:vAlign w:val="center"/>
          </w:tcPr>
          <w:p>
            <w:pPr>
              <w:spacing w:after="0"/>
            </w:pPr>
            <w:r>
              <w:rPr>
                <w:rFonts w:ascii="Arial" w:hAnsi="Arial"/>
                <w:sz w:val="16"/>
              </w:rPr>
              <w:t>Liquidity</w:t>
            </w:r>
          </w:p>
        </w:tc>
        <w:tc>
          <w:tcPr>
            <w:tcW w:type="dxa" w:w="3427"/>
            <w:tcMar>
              <w:top w:w="70" w:type="dxa"/>
              <w:start w:w="90" w:type="dxa"/>
              <w:bottom w:w="70" w:type="dxa"/>
              <w:end w:w="90" w:type="dxa"/>
            </w:tcMar>
            <w:vAlign w:val="center"/>
          </w:tcPr>
          <w:p>
            <w:pPr>
              <w:spacing w:after="0"/>
            </w:pPr>
            <w:r>
              <w:rPr>
                <w:rFonts w:ascii="Arial" w:hAnsi="Arial"/>
                <w:sz w:val="16"/>
              </w:rPr>
              <w:t>0xe6dEbc238e255E68eE7f49d59F8B49E1e37E0465</w:t>
            </w:r>
          </w:p>
        </w:tc>
        <w:tc>
          <w:tcPr>
            <w:tcW w:type="dxa" w:w="3427"/>
            <w:tcMar>
              <w:top w:w="70" w:type="dxa"/>
              <w:start w:w="90" w:type="dxa"/>
              <w:bottom w:w="70" w:type="dxa"/>
              <w:end w:w="90" w:type="dxa"/>
            </w:tcMar>
            <w:vAlign w:val="center"/>
          </w:tcPr>
          <w:p>
            <w:pPr>
              <w:spacing w:after="0"/>
            </w:pPr>
            <w:r>
              <w:rPr>
                <w:rFonts w:ascii="Arial" w:hAnsi="Arial"/>
                <w:sz w:val="16"/>
              </w:rPr>
              <w:t>noda-liquidity.bnb</w:t>
            </w:r>
          </w:p>
        </w:tc>
      </w:tr>
      <w:tr>
        <w:tc>
          <w:tcPr>
            <w:tcW w:type="dxa" w:w="3427"/>
            <w:tcMar>
              <w:top w:w="70" w:type="dxa"/>
              <w:start w:w="90" w:type="dxa"/>
              <w:bottom w:w="70" w:type="dxa"/>
              <w:end w:w="90" w:type="dxa"/>
            </w:tcMar>
            <w:vAlign w:val="center"/>
          </w:tcPr>
          <w:p>
            <w:pPr>
              <w:spacing w:after="0"/>
            </w:pPr>
            <w:r>
              <w:rPr>
                <w:rFonts w:ascii="Arial" w:hAnsi="Arial"/>
                <w:sz w:val="16"/>
              </w:rPr>
              <w:t>Ecosystem</w:t>
            </w:r>
          </w:p>
        </w:tc>
        <w:tc>
          <w:tcPr>
            <w:tcW w:type="dxa" w:w="3427"/>
            <w:tcMar>
              <w:top w:w="70" w:type="dxa"/>
              <w:start w:w="90" w:type="dxa"/>
              <w:bottom w:w="70" w:type="dxa"/>
              <w:end w:w="90" w:type="dxa"/>
            </w:tcMar>
            <w:vAlign w:val="center"/>
          </w:tcPr>
          <w:p>
            <w:pPr>
              <w:spacing w:after="0"/>
            </w:pPr>
            <w:r>
              <w:rPr>
                <w:rFonts w:ascii="Arial" w:hAnsi="Arial"/>
                <w:sz w:val="16"/>
              </w:rPr>
              <w:t>0xc4479E47d85c5E8d396ad2f66749151D400804cb</w:t>
            </w:r>
          </w:p>
        </w:tc>
        <w:tc>
          <w:tcPr>
            <w:tcW w:type="dxa" w:w="3427"/>
            <w:tcMar>
              <w:top w:w="70" w:type="dxa"/>
              <w:start w:w="90" w:type="dxa"/>
              <w:bottom w:w="70" w:type="dxa"/>
              <w:end w:w="90" w:type="dxa"/>
            </w:tcMar>
            <w:vAlign w:val="center"/>
          </w:tcPr>
          <w:p>
            <w:pPr>
              <w:spacing w:after="0"/>
            </w:pPr>
            <w:r>
              <w:rPr>
                <w:rFonts w:ascii="Arial" w:hAnsi="Arial"/>
                <w:sz w:val="16"/>
              </w:rPr>
              <w:t>noda-ecosystem.bnb</w:t>
            </w:r>
          </w:p>
        </w:tc>
      </w:tr>
      <w:tr>
        <w:tc>
          <w:tcPr>
            <w:tcW w:type="dxa" w:w="3427"/>
            <w:tcMar>
              <w:top w:w="70" w:type="dxa"/>
              <w:start w:w="90" w:type="dxa"/>
              <w:bottom w:w="70" w:type="dxa"/>
              <w:end w:w="90" w:type="dxa"/>
            </w:tcMar>
            <w:vAlign w:val="center"/>
          </w:tcPr>
          <w:p>
            <w:pPr>
              <w:spacing w:after="0"/>
            </w:pPr>
            <w:r>
              <w:rPr>
                <w:rFonts w:ascii="Arial" w:hAnsi="Arial"/>
                <w:sz w:val="16"/>
              </w:rPr>
              <w:t>Team</w:t>
            </w:r>
          </w:p>
        </w:tc>
        <w:tc>
          <w:tcPr>
            <w:tcW w:type="dxa" w:w="3427"/>
            <w:tcMar>
              <w:top w:w="70" w:type="dxa"/>
              <w:start w:w="90" w:type="dxa"/>
              <w:bottom w:w="70" w:type="dxa"/>
              <w:end w:w="90" w:type="dxa"/>
            </w:tcMar>
            <w:vAlign w:val="center"/>
          </w:tcPr>
          <w:p>
            <w:pPr>
              <w:spacing w:after="0"/>
            </w:pPr>
            <w:r>
              <w:rPr>
                <w:rFonts w:ascii="Arial" w:hAnsi="Arial"/>
                <w:sz w:val="16"/>
              </w:rPr>
              <w:t>0x34cF0E4768b09d42cF0045F974c0240f5C11d50</w:t>
            </w:r>
          </w:p>
        </w:tc>
        <w:tc>
          <w:tcPr>
            <w:tcW w:type="dxa" w:w="3427"/>
            <w:tcMar>
              <w:top w:w="70" w:type="dxa"/>
              <w:start w:w="90" w:type="dxa"/>
              <w:bottom w:w="70" w:type="dxa"/>
              <w:end w:w="90" w:type="dxa"/>
            </w:tcMar>
            <w:vAlign w:val="center"/>
          </w:tcPr>
          <w:p>
            <w:pPr>
              <w:spacing w:after="0"/>
            </w:pPr>
            <w:r>
              <w:rPr>
                <w:rFonts w:ascii="Arial" w:hAnsi="Arial"/>
                <w:sz w:val="16"/>
              </w:rPr>
              <w:t>noda-team.bnb</w:t>
            </w:r>
          </w:p>
        </w:tc>
      </w:tr>
      <w:tr>
        <w:tc>
          <w:tcPr>
            <w:tcW w:type="dxa" w:w="3427"/>
            <w:tcMar>
              <w:top w:w="70" w:type="dxa"/>
              <w:start w:w="90" w:type="dxa"/>
              <w:bottom w:w="70" w:type="dxa"/>
              <w:end w:w="90" w:type="dxa"/>
            </w:tcMar>
            <w:vAlign w:val="center"/>
          </w:tcPr>
          <w:p>
            <w:pPr>
              <w:spacing w:after="0"/>
            </w:pPr>
            <w:r>
              <w:rPr>
                <w:rFonts w:ascii="Arial" w:hAnsi="Arial"/>
                <w:sz w:val="16"/>
              </w:rPr>
              <w:t>Strategic / Operational Reserve</w:t>
            </w:r>
          </w:p>
        </w:tc>
        <w:tc>
          <w:tcPr>
            <w:tcW w:type="dxa" w:w="3427"/>
            <w:tcMar>
              <w:top w:w="70" w:type="dxa"/>
              <w:start w:w="90" w:type="dxa"/>
              <w:bottom w:w="70" w:type="dxa"/>
              <w:end w:w="90" w:type="dxa"/>
            </w:tcMar>
            <w:vAlign w:val="center"/>
          </w:tcPr>
          <w:p>
            <w:pPr>
              <w:spacing w:after="0"/>
            </w:pPr>
            <w:r>
              <w:rPr>
                <w:rFonts w:ascii="Arial" w:hAnsi="Arial"/>
                <w:sz w:val="16"/>
              </w:rPr>
              <w:t>0x95f074CFB5d9032Cf1AD3C5A7394C2D54e41D133</w:t>
            </w:r>
          </w:p>
        </w:tc>
        <w:tc>
          <w:tcPr>
            <w:tcW w:type="dxa" w:w="3427"/>
            <w:tcMar>
              <w:top w:w="70" w:type="dxa"/>
              <w:start w:w="90" w:type="dxa"/>
              <w:bottom w:w="70" w:type="dxa"/>
              <w:end w:w="90" w:type="dxa"/>
            </w:tcMar>
            <w:vAlign w:val="center"/>
          </w:tcPr>
          <w:p>
            <w:pPr>
              <w:spacing w:after="0"/>
            </w:pPr>
            <w:r>
              <w:rPr>
                <w:rFonts w:ascii="Arial" w:hAnsi="Arial"/>
                <w:sz w:val="16"/>
              </w:rPr>
              <w:t>noda-treasury1.bnb</w:t>
            </w:r>
          </w:p>
        </w:tc>
      </w:tr>
    </w:tbl>
    <w:p>
      <w:pPr>
        <w:jc w:val="left"/>
      </w:pPr>
      <w:r>
        <w:rPr>
          <w:b w:val="0"/>
          <w:i w:val="0"/>
        </w:rPr>
        <w:t>The allocation structure describes the intended purpose of issued tokens. It does not mean that the full supply is freely circulating in the public market.</w:t>
      </w:r>
    </w:p>
    <w:p>
      <w:r>
        <w:br w:type="page"/>
      </w:r>
    </w:p>
    <w:p>
      <w:pPr>
        <w:pStyle w:val="Heading1"/>
      </w:pPr>
      <w:r>
        <w:t>7. Vesting and reserve policies</w:t>
      </w:r>
    </w:p>
    <w:p>
      <w:pPr>
        <w:pStyle w:val="Heading2"/>
      </w:pPr>
      <w:r>
        <w:t>7.1 Treasury</w:t>
      </w:r>
    </w:p>
    <w:p>
      <w:pPr>
        <w:jc w:val="left"/>
      </w:pPr>
      <w:r>
        <w:rPr>
          <w:b w:val="0"/>
          <w:i w:val="0"/>
        </w:rPr>
        <w:t>The Treasury supports infrastructure, technical development, legal and compliance work, marketing, integrations, strategic partnerships and other project-development expenses.</w:t>
      </w:r>
    </w:p>
    <w:p>
      <w:pPr>
        <w:pStyle w:val="ListBullet"/>
        <w:spacing w:after="40"/>
      </w:pPr>
      <w:r>
        <w:t>Transactions above 100,000,000 NODA should be accompanied by an internal or public explanation of purpose.</w:t>
      </w:r>
    </w:p>
    <w:p>
      <w:pPr>
        <w:pStyle w:val="ListBullet"/>
        <w:spacing w:after="40"/>
      </w:pPr>
      <w:r>
        <w:t>Transactions of 210,000,000 NODA or more (1% of total supply) are treated as material movements and monitored by NODA Control.</w:t>
      </w:r>
    </w:p>
    <w:p>
      <w:pPr>
        <w:pStyle w:val="Heading2"/>
      </w:pPr>
      <w:r>
        <w:t>7.2 Reserve</w:t>
      </w:r>
    </w:p>
    <w:p>
      <w:pPr>
        <w:jc w:val="left"/>
      </w:pPr>
      <w:r>
        <w:rPr>
          <w:b w:val="0"/>
          <w:i w:val="0"/>
        </w:rPr>
        <w:t>The Reserve is intended for long-term strategic needs and is not treated as a routine operating budget.</w:t>
      </w:r>
    </w:p>
    <w:p>
      <w:pPr>
        <w:pStyle w:val="ListBullet"/>
        <w:spacing w:after="40"/>
      </w:pPr>
      <w:r>
        <w:t>Potential uses include strategic partnerships, infrastructure expansion, additional liquidity and exceptional project requirements.</w:t>
      </w:r>
    </w:p>
    <w:p>
      <w:pPr>
        <w:pStyle w:val="ListBullet"/>
        <w:spacing w:after="40"/>
      </w:pPr>
      <w:r>
        <w:t>Movements of 210,000,000 NODA or more are treated as material reserve events.</w:t>
      </w:r>
    </w:p>
    <w:p>
      <w:pPr>
        <w:pStyle w:val="Heading2"/>
      </w:pPr>
      <w:r>
        <w:t>7.3 Liquidity</w:t>
      </w:r>
    </w:p>
    <w:p>
      <w:pPr>
        <w:jc w:val="left"/>
      </w:pPr>
      <w:r>
        <w:rPr>
          <w:b w:val="0"/>
          <w:i w:val="0"/>
        </w:rPr>
        <w:t>The 3 billion NODA Liquidity allocation is a strategic reserve for market-liquidity development. It does not mean that all 3 billion NODA will be deposited into decentralized exchanges at the same time. Deployment is expected to depend on trading demand, market depth and the development of additional trading pairs.</w:t>
      </w:r>
    </w:p>
    <w:p>
      <w:pPr>
        <w:pStyle w:val="Heading2"/>
      </w:pPr>
      <w:r>
        <w:t>7.4 Ecosystem</w:t>
      </w:r>
    </w:p>
    <w:p>
      <w:pPr>
        <w:jc w:val="left"/>
      </w:pPr>
      <w:r>
        <w:rPr>
          <w:b w:val="0"/>
          <w:i w:val="0"/>
        </w:rPr>
        <w:t>The Ecosystem allocation is intended for integrations, grants, partnerships, community initiatives, promotional distributions, airdrops and other ecosystem-development programs.</w:t>
      </w:r>
    </w:p>
    <w:p>
      <w:pPr>
        <w:pStyle w:val="ListBullet"/>
        <w:spacing w:after="40"/>
      </w:pPr>
      <w:r>
        <w:t>As a base policy, a single initiative should not use more than 75,000,000 NODA without a separate project decision or public announcement.</w:t>
      </w:r>
    </w:p>
    <w:p>
      <w:pPr>
        <w:pStyle w:val="Heading2"/>
      </w:pPr>
      <w:r>
        <w:t>7.5 Team vesting</w:t>
      </w:r>
    </w:p>
    <w:p>
      <w:pPr>
        <w:jc w:val="left"/>
      </w:pPr>
      <w:r>
        <w:rPr>
          <w:b w:val="0"/>
          <w:i w:val="0"/>
        </w:rPr>
        <w:t>The official NODA launch date is 1 October 2026. The Team allocation is subject to a 12-month lock-up from the official launch date, followed by 24 months of linear vesting.</w:t>
      </w:r>
    </w:p>
    <w:tbl>
      <w:tblPr>
        <w:tblStyle w:val="TableGrid"/>
        <w:tblW w:type="auto" w:w="0"/>
        <w:jc w:val="center"/>
        <w:tblLook w:firstColumn="1" w:firstRow="1" w:lastColumn="0" w:lastRow="0" w:noHBand="0" w:noVBand="1" w:val="04A0"/>
      </w:tblPr>
      <w:tblGrid>
        <w:gridCol w:w="5141"/>
        <w:gridCol w:w="5141"/>
      </w:tblGrid>
      <w:tr>
        <w:tc>
          <w:tcPr>
            <w:tcW w:type="dxa" w:w="5141"/>
            <w:shd w:fill="E9EEF5"/>
            <w:tcMar>
              <w:top w:w="70" w:type="dxa"/>
              <w:start w:w="90" w:type="dxa"/>
              <w:bottom w:w="70" w:type="dxa"/>
              <w:end w:w="90" w:type="dxa"/>
            </w:tcMar>
          </w:tcPr>
          <w:p>
            <w:r>
              <w:rPr>
                <w:rFonts w:ascii="Arial" w:hAnsi="Arial"/>
                <w:b/>
                <w:sz w:val="16"/>
              </w:rPr>
              <w:t>Period</w:t>
            </w:r>
          </w:p>
        </w:tc>
        <w:tc>
          <w:tcPr>
            <w:tcW w:type="dxa" w:w="5141"/>
            <w:shd w:fill="E9EEF5"/>
            <w:tcMar>
              <w:top w:w="70" w:type="dxa"/>
              <w:start w:w="90" w:type="dxa"/>
              <w:bottom w:w="70" w:type="dxa"/>
              <w:end w:w="90" w:type="dxa"/>
            </w:tcMar>
          </w:tcPr>
          <w:p>
            <w:r>
              <w:rPr>
                <w:rFonts w:ascii="Arial" w:hAnsi="Arial"/>
                <w:b/>
                <w:sz w:val="16"/>
              </w:rPr>
              <w:t>Team allocation availability</w:t>
            </w:r>
          </w:p>
        </w:tc>
      </w:tr>
      <w:tr>
        <w:tc>
          <w:tcPr>
            <w:tcW w:type="dxa" w:w="5141"/>
            <w:tcMar>
              <w:top w:w="70" w:type="dxa"/>
              <w:start w:w="90" w:type="dxa"/>
              <w:bottom w:w="70" w:type="dxa"/>
              <w:end w:w="90" w:type="dxa"/>
            </w:tcMar>
            <w:vAlign w:val="center"/>
          </w:tcPr>
          <w:p>
            <w:pPr>
              <w:spacing w:after="0"/>
            </w:pPr>
            <w:r>
              <w:rPr>
                <w:rFonts w:ascii="Arial" w:hAnsi="Arial"/>
                <w:sz w:val="16"/>
              </w:rPr>
              <w:t>1 Oct 2026 – 30 Sep 2027</w:t>
            </w:r>
          </w:p>
        </w:tc>
        <w:tc>
          <w:tcPr>
            <w:tcW w:type="dxa" w:w="5141"/>
            <w:tcMar>
              <w:top w:w="70" w:type="dxa"/>
              <w:start w:w="90" w:type="dxa"/>
              <w:bottom w:w="70" w:type="dxa"/>
              <w:end w:w="90" w:type="dxa"/>
            </w:tcMar>
            <w:vAlign w:val="center"/>
          </w:tcPr>
          <w:p>
            <w:pPr>
              <w:spacing w:after="0"/>
            </w:pPr>
            <w:r>
              <w:rPr>
                <w:rFonts w:ascii="Arial" w:hAnsi="Arial"/>
                <w:sz w:val="16"/>
              </w:rPr>
              <w:t>No scheduled Team allocation unlock</w:t>
            </w:r>
          </w:p>
        </w:tc>
      </w:tr>
      <w:tr>
        <w:tc>
          <w:tcPr>
            <w:tcW w:type="dxa" w:w="5141"/>
            <w:tcMar>
              <w:top w:w="70" w:type="dxa"/>
              <w:start w:w="90" w:type="dxa"/>
              <w:bottom w:w="70" w:type="dxa"/>
              <w:end w:w="90" w:type="dxa"/>
            </w:tcMar>
            <w:vAlign w:val="center"/>
          </w:tcPr>
          <w:p>
            <w:pPr>
              <w:spacing w:after="0"/>
            </w:pPr>
            <w:r>
              <w:rPr>
                <w:rFonts w:ascii="Arial" w:hAnsi="Arial"/>
                <w:sz w:val="16"/>
              </w:rPr>
              <w:t>1 Oct 2027 – 30 Sep 2029</w:t>
            </w:r>
          </w:p>
        </w:tc>
        <w:tc>
          <w:tcPr>
            <w:tcW w:type="dxa" w:w="5141"/>
            <w:tcMar>
              <w:top w:w="70" w:type="dxa"/>
              <w:start w:w="90" w:type="dxa"/>
              <w:bottom w:w="70" w:type="dxa"/>
              <w:end w:w="90" w:type="dxa"/>
            </w:tcMar>
            <w:vAlign w:val="center"/>
          </w:tcPr>
          <w:p>
            <w:pPr>
              <w:spacing w:after="0"/>
            </w:pPr>
            <w:r>
              <w:rPr>
                <w:rFonts w:ascii="Arial" w:hAnsi="Arial"/>
                <w:sz w:val="16"/>
              </w:rPr>
              <w:t>Linear vesting at approximately 1/24 of the Team allocation per month</w:t>
            </w:r>
          </w:p>
        </w:tc>
      </w:tr>
      <w:tr>
        <w:tc>
          <w:tcPr>
            <w:tcW w:type="dxa" w:w="5141"/>
            <w:tcMar>
              <w:top w:w="70" w:type="dxa"/>
              <w:start w:w="90" w:type="dxa"/>
              <w:bottom w:w="70" w:type="dxa"/>
              <w:end w:w="90" w:type="dxa"/>
            </w:tcMar>
            <w:vAlign w:val="center"/>
          </w:tcPr>
          <w:p>
            <w:pPr>
              <w:spacing w:after="0"/>
            </w:pPr>
            <w:r>
              <w:rPr>
                <w:rFonts w:ascii="Arial" w:hAnsi="Arial"/>
                <w:sz w:val="16"/>
              </w:rPr>
              <w:t>Full scheduled cycle</w:t>
            </w:r>
          </w:p>
        </w:tc>
        <w:tc>
          <w:tcPr>
            <w:tcW w:type="dxa" w:w="5141"/>
            <w:tcMar>
              <w:top w:w="70" w:type="dxa"/>
              <w:start w:w="90" w:type="dxa"/>
              <w:bottom w:w="70" w:type="dxa"/>
              <w:end w:w="90" w:type="dxa"/>
            </w:tcMar>
            <w:vAlign w:val="center"/>
          </w:tcPr>
          <w:p>
            <w:pPr>
              <w:spacing w:after="0"/>
            </w:pPr>
            <w:r>
              <w:rPr>
                <w:rFonts w:ascii="Arial" w:hAnsi="Arial"/>
                <w:sz w:val="16"/>
              </w:rPr>
              <w:t>36 months from official launch</w:t>
            </w:r>
          </w:p>
        </w:tc>
      </w:tr>
    </w:tbl>
    <w:p>
      <w:pPr>
        <w:jc w:val="left"/>
      </w:pPr>
      <w:r>
        <w:rPr>
          <w:b w:val="0"/>
          <w:i w:val="0"/>
        </w:rPr>
        <w:t>Based on the current Team allocation, the linear phase corresponds to approximately 41.67 million NODA per month. The project intends to keep the launch date and vesting schedule consistent across Tokenomics, Whitepaper and official project communications.</w:t>
      </w:r>
    </w:p>
    <w:p>
      <w:pPr>
        <w:pStyle w:val="Heading2"/>
      </w:pPr>
      <w:r>
        <w:t>7.6 Strategic / Operational Reserve</w:t>
      </w:r>
    </w:p>
    <w:p>
      <w:pPr>
        <w:jc w:val="left"/>
      </w:pPr>
      <w:r>
        <w:rPr>
          <w:b w:val="0"/>
          <w:i w:val="0"/>
        </w:rPr>
        <w:t>The noda-treasury1.bnb wallet is designated as the Strategic / Operational Reserve. It is intended for time-sensitive technical and infrastructure tasks, listing procedures, integrations, service expenses and limited strategic operations. It is kept conceptually separate from the main Treasury and long-term Reserve.</w:t>
      </w:r>
    </w:p>
    <w:p>
      <w:r>
        <w:br w:type="page"/>
      </w:r>
    </w:p>
    <w:p>
      <w:pPr>
        <w:pStyle w:val="Heading1"/>
      </w:pPr>
      <w:r>
        <w:t>8. Market liquidity and PancakeSwap V3</w:t>
      </w:r>
    </w:p>
    <w:tbl>
      <w:tblPr>
        <w:tblStyle w:val="TableGrid"/>
        <w:tblW w:type="auto" w:w="0"/>
        <w:jc w:val="center"/>
        <w:tblLook w:firstColumn="1" w:firstRow="1" w:lastColumn="0" w:lastRow="0" w:noHBand="0" w:noVBand="1" w:val="04A0"/>
      </w:tblPr>
      <w:tblGrid>
        <w:gridCol w:w="5141"/>
        <w:gridCol w:w="5141"/>
      </w:tblGrid>
      <w:tr>
        <w:tc>
          <w:tcPr>
            <w:tcW w:type="dxa" w:w="5141"/>
            <w:shd w:fill="E9EEF5"/>
            <w:tcMar>
              <w:top w:w="70" w:type="dxa"/>
              <w:start w:w="90" w:type="dxa"/>
              <w:bottom w:w="70" w:type="dxa"/>
              <w:end w:w="90" w:type="dxa"/>
            </w:tcMar>
          </w:tcPr>
          <w:p>
            <w:r>
              <w:rPr>
                <w:rFonts w:ascii="Arial" w:hAnsi="Arial"/>
                <w:b/>
                <w:sz w:val="16"/>
              </w:rPr>
              <w:t>Parameter</w:t>
            </w:r>
          </w:p>
        </w:tc>
        <w:tc>
          <w:tcPr>
            <w:tcW w:type="dxa" w:w="5141"/>
            <w:shd w:fill="E9EEF5"/>
            <w:tcMar>
              <w:top w:w="70" w:type="dxa"/>
              <w:start w:w="90" w:type="dxa"/>
              <w:bottom w:w="70" w:type="dxa"/>
              <w:end w:w="90" w:type="dxa"/>
            </w:tcMar>
          </w:tcPr>
          <w:p>
            <w:r>
              <w:rPr>
                <w:rFonts w:ascii="Arial" w:hAnsi="Arial"/>
                <w:b/>
                <w:sz w:val="16"/>
              </w:rPr>
              <w:t>Public baseline</w:t>
            </w:r>
          </w:p>
        </w:tc>
      </w:tr>
      <w:tr>
        <w:tc>
          <w:tcPr>
            <w:tcW w:type="dxa" w:w="5141"/>
            <w:tcMar>
              <w:top w:w="70" w:type="dxa"/>
              <w:start w:w="90" w:type="dxa"/>
              <w:bottom w:w="70" w:type="dxa"/>
              <w:end w:w="90" w:type="dxa"/>
            </w:tcMar>
            <w:vAlign w:val="center"/>
          </w:tcPr>
          <w:p>
            <w:pPr>
              <w:spacing w:after="0"/>
            </w:pPr>
            <w:r>
              <w:rPr>
                <w:rFonts w:ascii="Arial" w:hAnsi="Arial"/>
                <w:sz w:val="16"/>
              </w:rPr>
              <w:t>DEX</w:t>
            </w:r>
          </w:p>
        </w:tc>
        <w:tc>
          <w:tcPr>
            <w:tcW w:type="dxa" w:w="5141"/>
            <w:tcMar>
              <w:top w:w="70" w:type="dxa"/>
              <w:start w:w="90" w:type="dxa"/>
              <w:bottom w:w="70" w:type="dxa"/>
              <w:end w:w="90" w:type="dxa"/>
            </w:tcMar>
            <w:vAlign w:val="center"/>
          </w:tcPr>
          <w:p>
            <w:pPr>
              <w:spacing w:after="0"/>
            </w:pPr>
            <w:r>
              <w:rPr>
                <w:rFonts w:ascii="Arial" w:hAnsi="Arial"/>
                <w:sz w:val="16"/>
              </w:rPr>
              <w:t>PancakeSwap V3</w:t>
            </w:r>
          </w:p>
        </w:tc>
      </w:tr>
      <w:tr>
        <w:tc>
          <w:tcPr>
            <w:tcW w:type="dxa" w:w="5141"/>
            <w:tcMar>
              <w:top w:w="70" w:type="dxa"/>
              <w:start w:w="90" w:type="dxa"/>
              <w:bottom w:w="70" w:type="dxa"/>
              <w:end w:w="90" w:type="dxa"/>
            </w:tcMar>
            <w:vAlign w:val="center"/>
          </w:tcPr>
          <w:p>
            <w:pPr>
              <w:spacing w:after="0"/>
            </w:pPr>
            <w:r>
              <w:rPr>
                <w:rFonts w:ascii="Arial" w:hAnsi="Arial"/>
                <w:sz w:val="16"/>
              </w:rPr>
              <w:t>Pair</w:t>
            </w:r>
          </w:p>
        </w:tc>
        <w:tc>
          <w:tcPr>
            <w:tcW w:type="dxa" w:w="5141"/>
            <w:tcMar>
              <w:top w:w="70" w:type="dxa"/>
              <w:start w:w="90" w:type="dxa"/>
              <w:bottom w:w="70" w:type="dxa"/>
              <w:end w:w="90" w:type="dxa"/>
            </w:tcMar>
            <w:vAlign w:val="center"/>
          </w:tcPr>
          <w:p>
            <w:pPr>
              <w:spacing w:after="0"/>
            </w:pPr>
            <w:r>
              <w:rPr>
                <w:rFonts w:ascii="Arial" w:hAnsi="Arial"/>
                <w:sz w:val="16"/>
              </w:rPr>
              <w:t>NODA / USDT</w:t>
            </w:r>
          </w:p>
        </w:tc>
      </w:tr>
      <w:tr>
        <w:tc>
          <w:tcPr>
            <w:tcW w:type="dxa" w:w="5141"/>
            <w:tcMar>
              <w:top w:w="70" w:type="dxa"/>
              <w:start w:w="90" w:type="dxa"/>
              <w:bottom w:w="70" w:type="dxa"/>
              <w:end w:w="90" w:type="dxa"/>
            </w:tcMar>
            <w:vAlign w:val="center"/>
          </w:tcPr>
          <w:p>
            <w:pPr>
              <w:spacing w:after="0"/>
            </w:pPr>
            <w:r>
              <w:rPr>
                <w:rFonts w:ascii="Arial" w:hAnsi="Arial"/>
                <w:sz w:val="16"/>
              </w:rPr>
              <w:t>Pool contract</w:t>
            </w:r>
          </w:p>
        </w:tc>
        <w:tc>
          <w:tcPr>
            <w:tcW w:type="dxa" w:w="5141"/>
            <w:tcMar>
              <w:top w:w="70" w:type="dxa"/>
              <w:start w:w="90" w:type="dxa"/>
              <w:bottom w:w="70" w:type="dxa"/>
              <w:end w:w="90" w:type="dxa"/>
            </w:tcMar>
            <w:vAlign w:val="center"/>
          </w:tcPr>
          <w:p>
            <w:pPr>
              <w:spacing w:after="0"/>
            </w:pPr>
            <w:r>
              <w:rPr>
                <w:rFonts w:ascii="Arial" w:hAnsi="Arial"/>
                <w:sz w:val="16"/>
              </w:rPr>
              <w:t>0x2e8225eF29e0A2C928B9feFD53f9B6F359938Cf1</w:t>
            </w:r>
          </w:p>
        </w:tc>
      </w:tr>
      <w:tr>
        <w:tc>
          <w:tcPr>
            <w:tcW w:type="dxa" w:w="5141"/>
            <w:tcMar>
              <w:top w:w="70" w:type="dxa"/>
              <w:start w:w="90" w:type="dxa"/>
              <w:bottom w:w="70" w:type="dxa"/>
              <w:end w:w="90" w:type="dxa"/>
            </w:tcMar>
            <w:vAlign w:val="center"/>
          </w:tcPr>
          <w:p>
            <w:pPr>
              <w:spacing w:after="0"/>
            </w:pPr>
            <w:r>
              <w:rPr>
                <w:rFonts w:ascii="Arial" w:hAnsi="Arial"/>
                <w:sz w:val="16"/>
              </w:rPr>
              <w:t>Position ID</w:t>
            </w:r>
          </w:p>
        </w:tc>
        <w:tc>
          <w:tcPr>
            <w:tcW w:type="dxa" w:w="5141"/>
            <w:tcMar>
              <w:top w:w="70" w:type="dxa"/>
              <w:start w:w="90" w:type="dxa"/>
              <w:bottom w:w="70" w:type="dxa"/>
              <w:end w:w="90" w:type="dxa"/>
            </w:tcMar>
            <w:vAlign w:val="center"/>
          </w:tcPr>
          <w:p>
            <w:pPr>
              <w:spacing w:after="0"/>
            </w:pPr>
            <w:r>
              <w:rPr>
                <w:rFonts w:ascii="Arial" w:hAnsi="Arial"/>
                <w:sz w:val="16"/>
              </w:rPr>
              <w:t>#7381143</w:t>
            </w:r>
          </w:p>
        </w:tc>
      </w:tr>
      <w:tr>
        <w:tc>
          <w:tcPr>
            <w:tcW w:type="dxa" w:w="5141"/>
            <w:tcMar>
              <w:top w:w="70" w:type="dxa"/>
              <w:start w:w="90" w:type="dxa"/>
              <w:bottom w:w="70" w:type="dxa"/>
              <w:end w:w="90" w:type="dxa"/>
            </w:tcMar>
            <w:vAlign w:val="center"/>
          </w:tcPr>
          <w:p>
            <w:pPr>
              <w:spacing w:after="0"/>
            </w:pPr>
            <w:r>
              <w:rPr>
                <w:rFonts w:ascii="Arial" w:hAnsi="Arial"/>
                <w:sz w:val="16"/>
              </w:rPr>
              <w:t>Fee tier</w:t>
            </w:r>
          </w:p>
        </w:tc>
        <w:tc>
          <w:tcPr>
            <w:tcW w:type="dxa" w:w="5141"/>
            <w:tcMar>
              <w:top w:w="70" w:type="dxa"/>
              <w:start w:w="90" w:type="dxa"/>
              <w:bottom w:w="70" w:type="dxa"/>
              <w:end w:w="90" w:type="dxa"/>
            </w:tcMar>
            <w:vAlign w:val="center"/>
          </w:tcPr>
          <w:p>
            <w:pPr>
              <w:spacing w:after="0"/>
            </w:pPr>
            <w:r>
              <w:rPr>
                <w:rFonts w:ascii="Arial" w:hAnsi="Arial"/>
                <w:sz w:val="16"/>
              </w:rPr>
              <w:t>0.01%</w:t>
            </w:r>
          </w:p>
        </w:tc>
      </w:tr>
      <w:tr>
        <w:tc>
          <w:tcPr>
            <w:tcW w:type="dxa" w:w="5141"/>
            <w:tcMar>
              <w:top w:w="70" w:type="dxa"/>
              <w:start w:w="90" w:type="dxa"/>
              <w:bottom w:w="70" w:type="dxa"/>
              <w:end w:w="90" w:type="dxa"/>
            </w:tcMar>
            <w:vAlign w:val="center"/>
          </w:tcPr>
          <w:p>
            <w:pPr>
              <w:spacing w:after="0"/>
            </w:pPr>
            <w:r>
              <w:rPr>
                <w:rFonts w:ascii="Arial" w:hAnsi="Arial"/>
                <w:sz w:val="16"/>
              </w:rPr>
              <w:t>Active range</w:t>
            </w:r>
          </w:p>
        </w:tc>
        <w:tc>
          <w:tcPr>
            <w:tcW w:type="dxa" w:w="5141"/>
            <w:tcMar>
              <w:top w:w="70" w:type="dxa"/>
              <w:start w:w="90" w:type="dxa"/>
              <w:bottom w:w="70" w:type="dxa"/>
              <w:end w:w="90" w:type="dxa"/>
            </w:tcMar>
            <w:vAlign w:val="center"/>
          </w:tcPr>
          <w:p>
            <w:pPr>
              <w:spacing w:after="0"/>
            </w:pPr>
            <w:r>
              <w:rPr>
                <w:rFonts w:ascii="Arial" w:hAnsi="Arial"/>
                <w:sz w:val="16"/>
              </w:rPr>
              <w:t>0.979–0.981 USDT per NODA</w:t>
            </w:r>
          </w:p>
        </w:tc>
      </w:tr>
      <w:tr>
        <w:tc>
          <w:tcPr>
            <w:tcW w:type="dxa" w:w="5141"/>
            <w:tcMar>
              <w:top w:w="70" w:type="dxa"/>
              <w:start w:w="90" w:type="dxa"/>
              <w:bottom w:w="70" w:type="dxa"/>
              <w:end w:w="90" w:type="dxa"/>
            </w:tcMar>
            <w:vAlign w:val="center"/>
          </w:tcPr>
          <w:p>
            <w:pPr>
              <w:spacing w:after="0"/>
            </w:pPr>
            <w:r>
              <w:rPr>
                <w:rFonts w:ascii="Arial" w:hAnsi="Arial"/>
                <w:sz w:val="16"/>
              </w:rPr>
              <w:t>Reference price on 10 Sep 2026</w:t>
            </w:r>
          </w:p>
        </w:tc>
        <w:tc>
          <w:tcPr>
            <w:tcW w:type="dxa" w:w="5141"/>
            <w:tcMar>
              <w:top w:w="70" w:type="dxa"/>
              <w:start w:w="90" w:type="dxa"/>
              <w:bottom w:w="70" w:type="dxa"/>
              <w:end w:w="90" w:type="dxa"/>
            </w:tcMar>
            <w:vAlign w:val="center"/>
          </w:tcPr>
          <w:p>
            <w:pPr>
              <w:spacing w:after="0"/>
            </w:pPr>
            <w:r>
              <w:rPr>
                <w:rFonts w:ascii="Arial" w:hAnsi="Arial"/>
                <w:sz w:val="16"/>
              </w:rPr>
              <w:t>≈0.98024 USDT per NODA</w:t>
            </w:r>
          </w:p>
        </w:tc>
      </w:tr>
    </w:tbl>
    <w:p>
      <w:pPr>
        <w:jc w:val="left"/>
      </w:pPr>
      <w:r>
        <w:rPr>
          <w:b w:val="0"/>
          <w:i w:val="0"/>
        </w:rPr>
        <w:t>The narrow V3 range improves capital efficiency inside the selected price corridor but increases the likelihood that the position becomes inactive after a relatively small price movement. Accordingly, LP status is treated as a dynamic operating metric rather than a permanent characteristic of the token.</w:t>
      </w:r>
    </w:p>
    <w:p>
      <w:pPr>
        <w:jc w:val="left"/>
      </w:pPr>
      <w:r>
        <w:rPr>
          <w:b w:val="0"/>
          <w:i w:val="0"/>
        </w:rPr>
        <w:t>The 3 billion NODA Liquidity allocation and the amount actually deployed into live LP positions are separate concepts and should always be reported separately.</w:t>
      </w:r>
    </w:p>
    <w:p>
      <w:pPr>
        <w:pStyle w:val="Heading1"/>
      </w:pPr>
      <w:r>
        <w:t>9. Circulating supply methodology</w:t>
      </w:r>
    </w:p>
    <w:p>
      <w:pPr>
        <w:jc w:val="left"/>
      </w:pPr>
      <w:r>
        <w:rPr>
          <w:b w:val="0"/>
          <w:i w:val="0"/>
        </w:rPr>
        <w:t>For NODA, total supply, project allocation, active liquidity and circulating supply are distinct metrics.</w:t>
      </w:r>
    </w:p>
    <w:p>
      <w:pPr>
        <w:pStyle w:val="ListBullet"/>
        <w:spacing w:after="40"/>
      </w:pPr>
      <w:r>
        <w:t>Total supply: the fixed 21,000,000,000 NODA created by the deployed contract.</w:t>
      </w:r>
    </w:p>
    <w:p>
      <w:pPr>
        <w:pStyle w:val="ListBullet"/>
        <w:spacing w:after="40"/>
      </w:pPr>
      <w:r>
        <w:t>Project allocation: tokens held on designated Treasury, Reserve, Liquidity, Ecosystem, Team and Strategic / Operational Reserve wallets.</w:t>
      </w:r>
    </w:p>
    <w:p>
      <w:pPr>
        <w:pStyle w:val="ListBullet"/>
        <w:spacing w:after="40"/>
      </w:pPr>
      <w:r>
        <w:t>Active DEX liquidity: tokens actually deposited into active decentralized exchange liquidity positions.</w:t>
      </w:r>
    </w:p>
    <w:p>
      <w:pPr>
        <w:pStyle w:val="ListBullet"/>
        <w:spacing w:after="40"/>
      </w:pPr>
      <w:r>
        <w:t>Circulating supply: NODA that is genuinely available to the public market and not subject to an active project allocation restriction, lock-up or internal reserve designation.</w:t>
      </w:r>
    </w:p>
    <w:p>
      <w:pPr>
        <w:jc w:val="left"/>
      </w:pPr>
      <w:r>
        <w:rPr>
          <w:b w:val="0"/>
          <w:i w:val="0"/>
        </w:rPr>
        <w:t>For public reporting, the project will not treat the entire 21 billion NODA supply as circulating solely because the tokens exist on-chain. Circulating-supply figures should be based on tokens that have actually left restricted project allocations for unrestricted public-market availability, plus NODA actively deployed into public liquidity where appropriate. Internal transfers between designated project wallets do not increase circulating supply by themselves.</w:t>
      </w:r>
    </w:p>
    <w:p>
      <w:pPr>
        <w:pStyle w:val="Heading1"/>
      </w:pPr>
      <w:r>
        <w:t>10. Public infrastructure and data sources</w:t>
      </w:r>
    </w:p>
    <w:tbl>
      <w:tblPr>
        <w:tblStyle w:val="TableGrid"/>
        <w:tblW w:type="auto" w:w="0"/>
        <w:jc w:val="center"/>
        <w:tblLook w:firstColumn="1" w:firstRow="1" w:lastColumn="0" w:lastRow="0" w:noHBand="0" w:noVBand="1" w:val="04A0"/>
      </w:tblPr>
      <w:tblGrid>
        <w:gridCol w:w="5141"/>
        <w:gridCol w:w="5141"/>
      </w:tblGrid>
      <w:tr>
        <w:tc>
          <w:tcPr>
            <w:tcW w:type="dxa" w:w="5141"/>
            <w:shd w:fill="E9EEF5"/>
            <w:tcMar>
              <w:top w:w="70" w:type="dxa"/>
              <w:start w:w="90" w:type="dxa"/>
              <w:bottom w:w="70" w:type="dxa"/>
              <w:end w:w="90" w:type="dxa"/>
            </w:tcMar>
          </w:tcPr>
          <w:p>
            <w:r>
              <w:rPr>
                <w:rFonts w:ascii="Arial" w:hAnsi="Arial"/>
                <w:b/>
                <w:sz w:val="16"/>
              </w:rPr>
              <w:t>Source</w:t>
            </w:r>
          </w:p>
        </w:tc>
        <w:tc>
          <w:tcPr>
            <w:tcW w:type="dxa" w:w="5141"/>
            <w:shd w:fill="E9EEF5"/>
            <w:tcMar>
              <w:top w:w="70" w:type="dxa"/>
              <w:start w:w="90" w:type="dxa"/>
              <w:bottom w:w="70" w:type="dxa"/>
              <w:end w:w="90" w:type="dxa"/>
            </w:tcMar>
          </w:tcPr>
          <w:p>
            <w:r>
              <w:rPr>
                <w:rFonts w:ascii="Arial" w:hAnsi="Arial"/>
                <w:b/>
                <w:sz w:val="16"/>
              </w:rPr>
              <w:t>Purpose</w:t>
            </w:r>
          </w:p>
        </w:tc>
      </w:tr>
      <w:tr>
        <w:tc>
          <w:tcPr>
            <w:tcW w:type="dxa" w:w="5141"/>
            <w:tcMar>
              <w:top w:w="70" w:type="dxa"/>
              <w:start w:w="90" w:type="dxa"/>
              <w:bottom w:w="70" w:type="dxa"/>
              <w:end w:w="90" w:type="dxa"/>
            </w:tcMar>
            <w:vAlign w:val="center"/>
          </w:tcPr>
          <w:p>
            <w:pPr>
              <w:spacing w:after="0"/>
            </w:pPr>
            <w:r>
              <w:rPr>
                <w:rFonts w:ascii="Arial" w:hAnsi="Arial"/>
                <w:sz w:val="16"/>
              </w:rPr>
              <w:t>https://nodabank.ru/en</w:t>
            </w:r>
          </w:p>
        </w:tc>
        <w:tc>
          <w:tcPr>
            <w:tcW w:type="dxa" w:w="5141"/>
            <w:tcMar>
              <w:top w:w="70" w:type="dxa"/>
              <w:start w:w="90" w:type="dxa"/>
              <w:bottom w:w="70" w:type="dxa"/>
              <w:end w:w="90" w:type="dxa"/>
            </w:tcMar>
            <w:vAlign w:val="center"/>
          </w:tcPr>
          <w:p>
            <w:pPr>
              <w:spacing w:after="0"/>
            </w:pPr>
            <w:r>
              <w:rPr>
                <w:rFonts w:ascii="Arial" w:hAnsi="Arial"/>
                <w:sz w:val="16"/>
              </w:rPr>
              <w:t>Official project website confirmed by the project owner</w:t>
            </w:r>
          </w:p>
        </w:tc>
      </w:tr>
      <w:tr>
        <w:tc>
          <w:tcPr>
            <w:tcW w:type="dxa" w:w="5141"/>
            <w:tcMar>
              <w:top w:w="70" w:type="dxa"/>
              <w:start w:w="90" w:type="dxa"/>
              <w:bottom w:w="70" w:type="dxa"/>
              <w:end w:w="90" w:type="dxa"/>
            </w:tcMar>
            <w:vAlign w:val="center"/>
          </w:tcPr>
          <w:p>
            <w:pPr>
              <w:spacing w:after="0"/>
            </w:pPr>
            <w:r>
              <w:rPr>
                <w:rFonts w:ascii="Arial" w:hAnsi="Arial"/>
                <w:sz w:val="16"/>
              </w:rPr>
              <w:t>https://t.me/NODA_Token</w:t>
            </w:r>
          </w:p>
        </w:tc>
        <w:tc>
          <w:tcPr>
            <w:tcW w:type="dxa" w:w="5141"/>
            <w:tcMar>
              <w:top w:w="70" w:type="dxa"/>
              <w:start w:w="90" w:type="dxa"/>
              <w:bottom w:w="70" w:type="dxa"/>
              <w:end w:w="90" w:type="dxa"/>
            </w:tcMar>
            <w:vAlign w:val="center"/>
          </w:tcPr>
          <w:p>
            <w:pPr>
              <w:spacing w:after="0"/>
            </w:pPr>
            <w:r>
              <w:rPr>
                <w:rFonts w:ascii="Arial" w:hAnsi="Arial"/>
                <w:sz w:val="16"/>
              </w:rPr>
              <w:t>Official Telegram channel</w:t>
            </w:r>
          </w:p>
        </w:tc>
      </w:tr>
      <w:tr>
        <w:tc>
          <w:tcPr>
            <w:tcW w:type="dxa" w:w="5141"/>
            <w:tcMar>
              <w:top w:w="70" w:type="dxa"/>
              <w:start w:w="90" w:type="dxa"/>
              <w:bottom w:w="70" w:type="dxa"/>
              <w:end w:w="90" w:type="dxa"/>
            </w:tcMar>
            <w:vAlign w:val="center"/>
          </w:tcPr>
          <w:p>
            <w:pPr>
              <w:spacing w:after="0"/>
            </w:pPr>
            <w:r>
              <w:rPr>
                <w:rFonts w:ascii="Arial" w:hAnsi="Arial"/>
                <w:sz w:val="16"/>
              </w:rPr>
              <w:t>https://x.com/NodaToken</w:t>
            </w:r>
          </w:p>
        </w:tc>
        <w:tc>
          <w:tcPr>
            <w:tcW w:type="dxa" w:w="5141"/>
            <w:tcMar>
              <w:top w:w="70" w:type="dxa"/>
              <w:start w:w="90" w:type="dxa"/>
              <w:bottom w:w="70" w:type="dxa"/>
              <w:end w:w="90" w:type="dxa"/>
            </w:tcMar>
            <w:vAlign w:val="center"/>
          </w:tcPr>
          <w:p>
            <w:pPr>
              <w:spacing w:after="0"/>
            </w:pPr>
            <w:r>
              <w:rPr>
                <w:rFonts w:ascii="Arial" w:hAnsi="Arial"/>
                <w:sz w:val="16"/>
              </w:rPr>
              <w:t>Official X account</w:t>
            </w:r>
          </w:p>
        </w:tc>
      </w:tr>
      <w:tr>
        <w:tc>
          <w:tcPr>
            <w:tcW w:type="dxa" w:w="5141"/>
            <w:tcMar>
              <w:top w:w="70" w:type="dxa"/>
              <w:start w:w="90" w:type="dxa"/>
              <w:bottom w:w="70" w:type="dxa"/>
              <w:end w:w="90" w:type="dxa"/>
            </w:tcMar>
            <w:vAlign w:val="center"/>
          </w:tcPr>
          <w:p>
            <w:pPr>
              <w:spacing w:after="0"/>
            </w:pPr>
            <w:r>
              <w:rPr>
                <w:rFonts w:ascii="Arial" w:hAnsi="Arial"/>
                <w:sz w:val="16"/>
              </w:rPr>
              <w:t>BscScan</w:t>
            </w:r>
          </w:p>
        </w:tc>
        <w:tc>
          <w:tcPr>
            <w:tcW w:type="dxa" w:w="5141"/>
            <w:tcMar>
              <w:top w:w="70" w:type="dxa"/>
              <w:start w:w="90" w:type="dxa"/>
              <w:bottom w:w="70" w:type="dxa"/>
              <w:end w:w="90" w:type="dxa"/>
            </w:tcMar>
            <w:vAlign w:val="center"/>
          </w:tcPr>
          <w:p>
            <w:pPr>
              <w:spacing w:after="0"/>
            </w:pPr>
            <w:r>
              <w:rPr>
                <w:rFonts w:ascii="Arial" w:hAnsi="Arial"/>
                <w:sz w:val="16"/>
              </w:rPr>
              <w:t>Contract, source code, holders, transfers and public labels</w:t>
            </w:r>
          </w:p>
        </w:tc>
      </w:tr>
      <w:tr>
        <w:tc>
          <w:tcPr>
            <w:tcW w:type="dxa" w:w="5141"/>
            <w:tcMar>
              <w:top w:w="70" w:type="dxa"/>
              <w:start w:w="90" w:type="dxa"/>
              <w:bottom w:w="70" w:type="dxa"/>
              <w:end w:w="90" w:type="dxa"/>
            </w:tcMar>
            <w:vAlign w:val="center"/>
          </w:tcPr>
          <w:p>
            <w:pPr>
              <w:spacing w:after="0"/>
            </w:pPr>
            <w:r>
              <w:rPr>
                <w:rFonts w:ascii="Arial" w:hAnsi="Arial"/>
                <w:sz w:val="16"/>
              </w:rPr>
              <w:t>PancakeSwap</w:t>
            </w:r>
          </w:p>
        </w:tc>
        <w:tc>
          <w:tcPr>
            <w:tcW w:type="dxa" w:w="5141"/>
            <w:tcMar>
              <w:top w:w="70" w:type="dxa"/>
              <w:start w:w="90" w:type="dxa"/>
              <w:bottom w:w="70" w:type="dxa"/>
              <w:end w:w="90" w:type="dxa"/>
            </w:tcMar>
            <w:vAlign w:val="center"/>
          </w:tcPr>
          <w:p>
            <w:pPr>
              <w:spacing w:after="0"/>
            </w:pPr>
            <w:r>
              <w:rPr>
                <w:rFonts w:ascii="Arial" w:hAnsi="Arial"/>
                <w:sz w:val="16"/>
              </w:rPr>
              <w:t>DEX position and live liquidity</w:t>
            </w:r>
          </w:p>
        </w:tc>
      </w:tr>
      <w:tr>
        <w:tc>
          <w:tcPr>
            <w:tcW w:type="dxa" w:w="5141"/>
            <w:tcMar>
              <w:top w:w="70" w:type="dxa"/>
              <w:start w:w="90" w:type="dxa"/>
              <w:bottom w:w="70" w:type="dxa"/>
              <w:end w:w="90" w:type="dxa"/>
            </w:tcMar>
            <w:vAlign w:val="center"/>
          </w:tcPr>
          <w:p>
            <w:pPr>
              <w:spacing w:after="0"/>
            </w:pPr>
            <w:r>
              <w:rPr>
                <w:rFonts w:ascii="Arial" w:hAnsi="Arial"/>
                <w:sz w:val="16"/>
              </w:rPr>
              <w:t>GeckoTerminal</w:t>
            </w:r>
          </w:p>
        </w:tc>
        <w:tc>
          <w:tcPr>
            <w:tcW w:type="dxa" w:w="5141"/>
            <w:tcMar>
              <w:top w:w="70" w:type="dxa"/>
              <w:start w:w="90" w:type="dxa"/>
              <w:bottom w:w="70" w:type="dxa"/>
              <w:end w:w="90" w:type="dxa"/>
            </w:tcMar>
            <w:vAlign w:val="center"/>
          </w:tcPr>
          <w:p>
            <w:pPr>
              <w:spacing w:after="0"/>
            </w:pPr>
            <w:r>
              <w:rPr>
                <w:rFonts w:ascii="Arial" w:hAnsi="Arial"/>
                <w:sz w:val="16"/>
              </w:rPr>
              <w:t>Public DEX pool metrics</w:t>
            </w:r>
          </w:p>
        </w:tc>
      </w:tr>
      <w:tr>
        <w:tc>
          <w:tcPr>
            <w:tcW w:type="dxa" w:w="5141"/>
            <w:tcMar>
              <w:top w:w="70" w:type="dxa"/>
              <w:start w:w="90" w:type="dxa"/>
              <w:bottom w:w="70" w:type="dxa"/>
              <w:end w:w="90" w:type="dxa"/>
            </w:tcMar>
            <w:vAlign w:val="center"/>
          </w:tcPr>
          <w:p>
            <w:pPr>
              <w:spacing w:after="0"/>
            </w:pPr>
            <w:r>
              <w:rPr>
                <w:rFonts w:ascii="Arial" w:hAnsi="Arial"/>
                <w:sz w:val="16"/>
              </w:rPr>
              <w:t>CoinMarketCap DEX</w:t>
            </w:r>
          </w:p>
        </w:tc>
        <w:tc>
          <w:tcPr>
            <w:tcW w:type="dxa" w:w="5141"/>
            <w:tcMar>
              <w:top w:w="70" w:type="dxa"/>
              <w:start w:w="90" w:type="dxa"/>
              <w:bottom w:w="70" w:type="dxa"/>
              <w:end w:w="90" w:type="dxa"/>
            </w:tcMar>
            <w:vAlign w:val="center"/>
          </w:tcPr>
          <w:p>
            <w:pPr>
              <w:spacing w:after="0"/>
            </w:pPr>
            <w:r>
              <w:rPr>
                <w:rFonts w:ascii="Arial" w:hAnsi="Arial"/>
                <w:sz w:val="16"/>
              </w:rPr>
              <w:t>Public token and DEX market data</w:t>
            </w:r>
          </w:p>
        </w:tc>
      </w:tr>
    </w:tbl>
    <w:p>
      <w:pPr>
        <w:jc w:val="left"/>
      </w:pPr>
      <w:r>
        <w:rPr>
          <w:b w:val="0"/>
          <w:i w:val="0"/>
        </w:rPr>
        <w:t>Market data such as TVL, volume, APR and price may differ across services because of methodology and update timing. For immutable technical parameters, on-chain data and the verified contract remain the primary reference.</w:t>
      </w:r>
    </w:p>
    <w:p>
      <w:r>
        <w:br w:type="page"/>
      </w:r>
    </w:p>
    <w:p>
      <w:pPr>
        <w:pStyle w:val="Heading1"/>
      </w:pPr>
      <w:r>
        <w:t>11. NODA Control — monitoring system</w:t>
      </w:r>
    </w:p>
    <w:p>
      <w:pPr>
        <w:jc w:val="left"/>
      </w:pPr>
      <w:r>
        <w:rPr>
          <w:b w:val="0"/>
          <w:i w:val="0"/>
        </w:rPr>
        <w:t>NODA Control is the project’s internal monitoring and analytical layer. It does not receive seed phrases, private keys or transaction-signing authority. Its role is to compare the current public state of NODA with an established baseline and raise alerts only when a material change occurs.</w:t>
      </w:r>
    </w:p>
    <w:p>
      <w:pPr>
        <w:pStyle w:val="ListBullet"/>
        <w:spacing w:after="40"/>
      </w:pPr>
      <w:r>
        <w:t>new or changed scam / malicious / honeypot / unsafe flags;</w:t>
      </w:r>
    </w:p>
    <w:p>
      <w:pPr>
        <w:pStyle w:val="ListBullet"/>
        <w:spacing w:after="40"/>
      </w:pPr>
      <w:r>
        <w:t>changes to contract or tracker verification status;</w:t>
      </w:r>
    </w:p>
    <w:p>
      <w:pPr>
        <w:pStyle w:val="ListBullet"/>
        <w:spacing w:after="40"/>
      </w:pPr>
      <w:r>
        <w:t>movement of 210,000,000 NODA or more from a designated project wallet;</w:t>
      </w:r>
    </w:p>
    <w:p>
      <w:pPr>
        <w:pStyle w:val="ListBullet"/>
        <w:spacing w:after="40"/>
      </w:pPr>
      <w:r>
        <w:t>material change in holder concentration;</w:t>
      </w:r>
    </w:p>
    <w:p>
      <w:pPr>
        <w:pStyle w:val="ListBullet"/>
        <w:spacing w:after="40"/>
      </w:pPr>
      <w:r>
        <w:t>material liquidity reduction;</w:t>
      </w:r>
    </w:p>
    <w:p>
      <w:pPr>
        <w:pStyle w:val="ListBullet"/>
        <w:spacing w:after="40"/>
      </w:pPr>
      <w:r>
        <w:t>PancakeSwap V3 price moving outside the 0.979–0.981 active range;</w:t>
      </w:r>
    </w:p>
    <w:p>
      <w:pPr>
        <w:pStyle w:val="ListBullet"/>
        <w:spacing w:after="40"/>
      </w:pPr>
      <w:r>
        <w:t>inconsistencies in token name, ticker, contract, website or official social links across major platforms.</w:t>
      </w:r>
    </w:p>
    <w:p>
      <w:pPr>
        <w:jc w:val="left"/>
      </w:pPr>
      <w:r>
        <w:rPr>
          <w:b w:val="0"/>
          <w:i w:val="0"/>
        </w:rPr>
        <w:t>NODA Control is a monitoring and early-warning system, not an autonomous asset-management system.</w:t>
      </w:r>
    </w:p>
    <w:p>
      <w:pPr>
        <w:pStyle w:val="Heading1"/>
      </w:pPr>
      <w:r>
        <w:t>12. Security and key risks</w:t>
      </w:r>
    </w:p>
    <w:p>
      <w:pPr>
        <w:pStyle w:val="Heading2"/>
      </w:pPr>
      <w:r>
        <w:t>12.1 Private-key risk</w:t>
      </w:r>
    </w:p>
    <w:p>
      <w:pPr>
        <w:jc w:val="left"/>
      </w:pPr>
      <w:r>
        <w:rPr>
          <w:b w:val="0"/>
          <w:i w:val="0"/>
        </w:rPr>
        <w:t>The absence of administrative functions in the token contract does not eliminate the risk of compromised project-wallet keys. Treasury, Reserve, Liquidity and Team wallet security requires separate operational controls.</w:t>
      </w:r>
    </w:p>
    <w:p>
      <w:pPr>
        <w:pStyle w:val="Heading2"/>
      </w:pPr>
      <w:r>
        <w:t>12.2 Concentration risk</w:t>
      </w:r>
    </w:p>
    <w:p>
      <w:pPr>
        <w:jc w:val="left"/>
      </w:pPr>
      <w:r>
        <w:rPr>
          <w:b w:val="0"/>
          <w:i w:val="0"/>
        </w:rPr>
        <w:t>A significant share of the supply is held on project-designated addresses. Even where public labels are visible, automated risk scanners may interpret this concentration as elevated risk. Transparent wallet roles, vesting rules and explanations of major movements are intended to reduce information asymmetry.</w:t>
      </w:r>
    </w:p>
    <w:p>
      <w:pPr>
        <w:pStyle w:val="Heading2"/>
      </w:pPr>
      <w:r>
        <w:t>12.3 Liquidity risk</w:t>
      </w:r>
    </w:p>
    <w:p>
      <w:pPr>
        <w:jc w:val="left"/>
      </w:pPr>
      <w:r>
        <w:rPr>
          <w:b w:val="0"/>
          <w:i w:val="0"/>
        </w:rPr>
        <w:t>Current DEX liquidity is small relative to total supply. A narrow PancakeSwap V3 range may become inactive after a small price movement, which can increase price sensitivity and slippage.</w:t>
      </w:r>
    </w:p>
    <w:p>
      <w:pPr>
        <w:pStyle w:val="Heading2"/>
      </w:pPr>
      <w:r>
        <w:t>12.4 External-platform risk</w:t>
      </w:r>
    </w:p>
    <w:p>
      <w:pPr>
        <w:jc w:val="left"/>
      </w:pPr>
      <w:r>
        <w:rPr>
          <w:b w:val="0"/>
          <w:i w:val="0"/>
        </w:rPr>
        <w:t>BscScan, GeckoTerminal, CoinMarketCap, CoinGecko, wallet providers and security scanners use their own methodologies. Their labels, ratings and market metrics can change independently of the NODA smart contract.</w:t>
      </w:r>
    </w:p>
    <w:p>
      <w:pPr>
        <w:pStyle w:val="Heading2"/>
      </w:pPr>
      <w:r>
        <w:t>12.5 Smart-contract risk</w:t>
      </w:r>
    </w:p>
    <w:p>
      <w:pPr>
        <w:jc w:val="left"/>
      </w:pPr>
      <w:r>
        <w:rPr>
          <w:b w:val="0"/>
          <w:i w:val="0"/>
        </w:rPr>
        <w:t>The contract is not upgradeable. This limits post-deployment administrative intervention, but it also means a defect in the deployed code cannot be corrected through a proxy upgrade. An independent smart-contract audit is therefore planned / pending before broader-scale use. No completed independent audit is claimed in this Public Release.</w:t>
      </w:r>
    </w:p>
    <w:p>
      <w:r>
        <w:br w:type="page"/>
      </w:r>
    </w:p>
    <w:p>
      <w:pPr>
        <w:pStyle w:val="Heading1"/>
        <w:spacing w:before="80" w:after="40"/>
      </w:pPr>
      <w:r>
        <w:t>13. Roadmap</w:t>
      </w:r>
    </w:p>
    <w:tbl>
      <w:tblPr>
        <w:tblStyle w:val="TableGrid"/>
        <w:tblW w:type="auto" w:w="0"/>
        <w:jc w:val="center"/>
        <w:tblLook w:firstColumn="1" w:firstRow="1" w:lastColumn="0" w:lastRow="0" w:noHBand="0" w:noVBand="1" w:val="04A0"/>
      </w:tblPr>
      <w:tblGrid>
        <w:gridCol w:w="3427"/>
        <w:gridCol w:w="3427"/>
        <w:gridCol w:w="3427"/>
      </w:tblGrid>
      <w:tr>
        <w:tc>
          <w:tcPr>
            <w:tcW w:type="dxa" w:w="3427"/>
            <w:shd w:fill="E9EEF5"/>
            <w:tcMar>
              <w:top w:w="70" w:type="dxa"/>
              <w:start w:w="90" w:type="dxa"/>
              <w:bottom w:w="70" w:type="dxa"/>
              <w:end w:w="90" w:type="dxa"/>
            </w:tcMar>
          </w:tcPr>
          <w:p>
            <w:r>
              <w:rPr>
                <w:rFonts w:ascii="Arial" w:hAnsi="Arial"/>
                <w:b/>
                <w:sz w:val="16"/>
              </w:rPr>
              <w:t>Stage</w:t>
            </w:r>
          </w:p>
        </w:tc>
        <w:tc>
          <w:tcPr>
            <w:tcW w:type="dxa" w:w="3427"/>
            <w:shd w:fill="E9EEF5"/>
            <w:tcMar>
              <w:top w:w="70" w:type="dxa"/>
              <w:start w:w="90" w:type="dxa"/>
              <w:bottom w:w="70" w:type="dxa"/>
              <w:end w:w="90" w:type="dxa"/>
            </w:tcMar>
          </w:tcPr>
          <w:p>
            <w:r>
              <w:rPr>
                <w:rFonts w:ascii="Arial" w:hAnsi="Arial"/>
                <w:b/>
                <w:sz w:val="16"/>
              </w:rPr>
              <w:t>Scope</w:t>
            </w:r>
          </w:p>
        </w:tc>
        <w:tc>
          <w:tcPr>
            <w:tcW w:type="dxa" w:w="3427"/>
            <w:shd w:fill="E9EEF5"/>
            <w:tcMar>
              <w:top w:w="70" w:type="dxa"/>
              <w:start w:w="90" w:type="dxa"/>
              <w:bottom w:w="70" w:type="dxa"/>
              <w:end w:w="90" w:type="dxa"/>
            </w:tcMar>
          </w:tcPr>
          <w:p>
            <w:r>
              <w:rPr>
                <w:rFonts w:ascii="Arial" w:hAnsi="Arial"/>
                <w:b/>
                <w:sz w:val="16"/>
              </w:rPr>
              <w:t>Status as of 10 Sep 2026</w:t>
            </w:r>
          </w:p>
        </w:tc>
      </w:tr>
      <w:tr>
        <w:tc>
          <w:tcPr>
            <w:tcW w:type="dxa" w:w="3427"/>
            <w:tcMar>
              <w:top w:w="70" w:type="dxa"/>
              <w:start w:w="90" w:type="dxa"/>
              <w:bottom w:w="70" w:type="dxa"/>
              <w:end w:w="90" w:type="dxa"/>
            </w:tcMar>
            <w:vAlign w:val="center"/>
          </w:tcPr>
          <w:p>
            <w:pPr>
              <w:spacing w:after="0"/>
            </w:pPr>
            <w:r>
              <w:rPr>
                <w:rFonts w:ascii="Arial" w:hAnsi="Arial"/>
                <w:sz w:val="16"/>
              </w:rPr>
              <w:t>I. Technical foundation</w:t>
            </w:r>
          </w:p>
        </w:tc>
        <w:tc>
          <w:tcPr>
            <w:tcW w:type="dxa" w:w="3427"/>
            <w:tcMar>
              <w:top w:w="70" w:type="dxa"/>
              <w:start w:w="90" w:type="dxa"/>
              <w:bottom w:w="70" w:type="dxa"/>
              <w:end w:w="90" w:type="dxa"/>
            </w:tcMar>
            <w:vAlign w:val="center"/>
          </w:tcPr>
          <w:p>
            <w:pPr>
              <w:spacing w:after="0"/>
            </w:pPr>
            <w:r>
              <w:rPr>
                <w:rFonts w:ascii="Arial" w:hAnsi="Arial"/>
                <w:sz w:val="16"/>
              </w:rPr>
              <w:t>Deploy NODA, verify source code, allocate project wallets</w:t>
            </w:r>
          </w:p>
        </w:tc>
        <w:tc>
          <w:tcPr>
            <w:tcW w:type="dxa" w:w="3427"/>
            <w:tcMar>
              <w:top w:w="70" w:type="dxa"/>
              <w:start w:w="90" w:type="dxa"/>
              <w:bottom w:w="70" w:type="dxa"/>
              <w:end w:w="90" w:type="dxa"/>
            </w:tcMar>
            <w:vAlign w:val="center"/>
          </w:tcPr>
          <w:p>
            <w:pPr>
              <w:spacing w:after="0"/>
            </w:pPr>
            <w:r>
              <w:rPr>
                <w:rFonts w:ascii="Arial" w:hAnsi="Arial"/>
                <w:sz w:val="16"/>
              </w:rPr>
              <w:t>Completed</w:t>
            </w:r>
          </w:p>
        </w:tc>
      </w:tr>
      <w:tr>
        <w:tc>
          <w:tcPr>
            <w:tcW w:type="dxa" w:w="3427"/>
            <w:tcMar>
              <w:top w:w="70" w:type="dxa"/>
              <w:start w:w="90" w:type="dxa"/>
              <w:bottom w:w="70" w:type="dxa"/>
              <w:end w:w="90" w:type="dxa"/>
            </w:tcMar>
            <w:vAlign w:val="center"/>
          </w:tcPr>
          <w:p>
            <w:pPr>
              <w:spacing w:after="0"/>
            </w:pPr>
            <w:r>
              <w:rPr>
                <w:rFonts w:ascii="Arial" w:hAnsi="Arial"/>
                <w:sz w:val="16"/>
              </w:rPr>
              <w:t>II. Market infrastructure</w:t>
            </w:r>
          </w:p>
        </w:tc>
        <w:tc>
          <w:tcPr>
            <w:tcW w:type="dxa" w:w="3427"/>
            <w:tcMar>
              <w:top w:w="70" w:type="dxa"/>
              <w:start w:w="90" w:type="dxa"/>
              <w:bottom w:w="70" w:type="dxa"/>
              <w:end w:w="90" w:type="dxa"/>
            </w:tcMar>
            <w:vAlign w:val="center"/>
          </w:tcPr>
          <w:p>
            <w:pPr>
              <w:spacing w:after="0"/>
            </w:pPr>
            <w:r>
              <w:rPr>
                <w:rFonts w:ascii="Arial" w:hAnsi="Arial"/>
                <w:sz w:val="16"/>
              </w:rPr>
              <w:t>NODA/USDT PancakeSwap V3, GeckoTerminal, CoinMarketCap DEX</w:t>
            </w:r>
          </w:p>
        </w:tc>
        <w:tc>
          <w:tcPr>
            <w:tcW w:type="dxa" w:w="3427"/>
            <w:tcMar>
              <w:top w:w="70" w:type="dxa"/>
              <w:start w:w="90" w:type="dxa"/>
              <w:bottom w:w="70" w:type="dxa"/>
              <w:end w:w="90" w:type="dxa"/>
            </w:tcMar>
            <w:vAlign w:val="center"/>
          </w:tcPr>
          <w:p>
            <w:pPr>
              <w:spacing w:after="0"/>
            </w:pPr>
            <w:r>
              <w:rPr>
                <w:rFonts w:ascii="Arial" w:hAnsi="Arial"/>
                <w:sz w:val="16"/>
              </w:rPr>
              <w:t>Live</w:t>
            </w:r>
          </w:p>
        </w:tc>
      </w:tr>
      <w:tr>
        <w:tc>
          <w:tcPr>
            <w:tcW w:type="dxa" w:w="3427"/>
            <w:tcMar>
              <w:top w:w="70" w:type="dxa"/>
              <w:start w:w="90" w:type="dxa"/>
              <w:bottom w:w="70" w:type="dxa"/>
              <w:end w:w="90" w:type="dxa"/>
            </w:tcMar>
            <w:vAlign w:val="center"/>
          </w:tcPr>
          <w:p>
            <w:pPr>
              <w:spacing w:after="0"/>
            </w:pPr>
            <w:r>
              <w:rPr>
                <w:rFonts w:ascii="Arial" w:hAnsi="Arial"/>
                <w:sz w:val="16"/>
              </w:rPr>
              <w:t>III. Public identity</w:t>
            </w:r>
          </w:p>
        </w:tc>
        <w:tc>
          <w:tcPr>
            <w:tcW w:type="dxa" w:w="3427"/>
            <w:tcMar>
              <w:top w:w="70" w:type="dxa"/>
              <w:start w:w="90" w:type="dxa"/>
              <w:bottom w:w="70" w:type="dxa"/>
              <w:end w:w="90" w:type="dxa"/>
            </w:tcMar>
            <w:vAlign w:val="center"/>
          </w:tcPr>
          <w:p>
            <w:pPr>
              <w:spacing w:after="0"/>
            </w:pPr>
            <w:r>
              <w:rPr>
                <w:rFonts w:ascii="Arial" w:hAnsi="Arial"/>
                <w:sz w:val="16"/>
              </w:rPr>
              <w:t>Consistent website, Telegram, X, BscScan and tracker metadata</w:t>
            </w:r>
          </w:p>
        </w:tc>
        <w:tc>
          <w:tcPr>
            <w:tcW w:type="dxa" w:w="3427"/>
            <w:tcMar>
              <w:top w:w="70" w:type="dxa"/>
              <w:start w:w="90" w:type="dxa"/>
              <w:bottom w:w="70" w:type="dxa"/>
              <w:end w:w="90" w:type="dxa"/>
            </w:tcMar>
            <w:vAlign w:val="center"/>
          </w:tcPr>
          <w:p>
            <w:pPr>
              <w:spacing w:after="0"/>
            </w:pPr>
            <w:r>
              <w:rPr>
                <w:rFonts w:ascii="Arial" w:hAnsi="Arial"/>
                <w:sz w:val="16"/>
              </w:rPr>
              <w:t>In progress</w:t>
            </w:r>
          </w:p>
        </w:tc>
      </w:tr>
      <w:tr>
        <w:tc>
          <w:tcPr>
            <w:tcW w:type="dxa" w:w="3427"/>
            <w:tcMar>
              <w:top w:w="70" w:type="dxa"/>
              <w:start w:w="90" w:type="dxa"/>
              <w:bottom w:w="70" w:type="dxa"/>
              <w:end w:w="90" w:type="dxa"/>
            </w:tcMar>
            <w:vAlign w:val="center"/>
          </w:tcPr>
          <w:p>
            <w:pPr>
              <w:spacing w:after="0"/>
            </w:pPr>
            <w:r>
              <w:rPr>
                <w:rFonts w:ascii="Arial" w:hAnsi="Arial"/>
                <w:sz w:val="16"/>
              </w:rPr>
              <w:t>IV. Documentation</w:t>
            </w:r>
          </w:p>
        </w:tc>
        <w:tc>
          <w:tcPr>
            <w:tcW w:type="dxa" w:w="3427"/>
            <w:tcMar>
              <w:top w:w="70" w:type="dxa"/>
              <w:start w:w="90" w:type="dxa"/>
              <w:bottom w:w="70" w:type="dxa"/>
              <w:end w:w="90" w:type="dxa"/>
            </w:tcMar>
            <w:vAlign w:val="center"/>
          </w:tcPr>
          <w:p>
            <w:pPr>
              <w:spacing w:after="0"/>
            </w:pPr>
            <w:r>
              <w:rPr>
                <w:rFonts w:ascii="Arial" w:hAnsi="Arial"/>
                <w:sz w:val="16"/>
              </w:rPr>
              <w:t>Tokenomics, Whitepaper and wallet registry</w:t>
            </w:r>
          </w:p>
        </w:tc>
        <w:tc>
          <w:tcPr>
            <w:tcW w:type="dxa" w:w="3427"/>
            <w:tcMar>
              <w:top w:w="70" w:type="dxa"/>
              <w:start w:w="90" w:type="dxa"/>
              <w:bottom w:w="70" w:type="dxa"/>
              <w:end w:w="90" w:type="dxa"/>
            </w:tcMar>
            <w:vAlign w:val="center"/>
          </w:tcPr>
          <w:p>
            <w:pPr>
              <w:spacing w:after="0"/>
            </w:pPr>
            <w:r>
              <w:rPr>
                <w:rFonts w:ascii="Arial" w:hAnsi="Arial"/>
                <w:sz w:val="16"/>
              </w:rPr>
              <w:t>Public documentation prepared</w:t>
            </w:r>
          </w:p>
        </w:tc>
      </w:tr>
      <w:tr>
        <w:tc>
          <w:tcPr>
            <w:tcW w:type="dxa" w:w="3427"/>
            <w:tcMar>
              <w:top w:w="70" w:type="dxa"/>
              <w:start w:w="90" w:type="dxa"/>
              <w:bottom w:w="70" w:type="dxa"/>
              <w:end w:w="90" w:type="dxa"/>
            </w:tcMar>
            <w:vAlign w:val="center"/>
          </w:tcPr>
          <w:p>
            <w:pPr>
              <w:spacing w:after="0"/>
            </w:pPr>
            <w:r>
              <w:rPr>
                <w:rFonts w:ascii="Arial" w:hAnsi="Arial"/>
                <w:sz w:val="16"/>
              </w:rPr>
              <w:t>V. Major-platform verification</w:t>
            </w:r>
          </w:p>
        </w:tc>
        <w:tc>
          <w:tcPr>
            <w:tcW w:type="dxa" w:w="3427"/>
            <w:tcMar>
              <w:top w:w="70" w:type="dxa"/>
              <w:start w:w="90" w:type="dxa"/>
              <w:bottom w:w="70" w:type="dxa"/>
              <w:end w:w="90" w:type="dxa"/>
            </w:tcMar>
            <w:vAlign w:val="center"/>
          </w:tcPr>
          <w:p>
            <w:pPr>
              <w:spacing w:after="0"/>
            </w:pPr>
            <w:r>
              <w:rPr>
                <w:rFonts w:ascii="Arial" w:hAnsi="Arial"/>
                <w:sz w:val="16"/>
              </w:rPr>
              <w:t>CoinMarketCap / CoinGecko and additional major trackers</w:t>
            </w:r>
          </w:p>
        </w:tc>
        <w:tc>
          <w:tcPr>
            <w:tcW w:type="dxa" w:w="3427"/>
            <w:tcMar>
              <w:top w:w="70" w:type="dxa"/>
              <w:start w:w="90" w:type="dxa"/>
              <w:bottom w:w="70" w:type="dxa"/>
              <w:end w:w="90" w:type="dxa"/>
            </w:tcMar>
            <w:vAlign w:val="center"/>
          </w:tcPr>
          <w:p>
            <w:pPr>
              <w:spacing w:after="0"/>
            </w:pPr>
            <w:r>
              <w:rPr>
                <w:rFonts w:ascii="Arial" w:hAnsi="Arial"/>
                <w:sz w:val="16"/>
              </w:rPr>
              <w:t>Next stage</w:t>
            </w:r>
          </w:p>
        </w:tc>
      </w:tr>
      <w:tr>
        <w:tc>
          <w:tcPr>
            <w:tcW w:type="dxa" w:w="3427"/>
            <w:tcMar>
              <w:top w:w="70" w:type="dxa"/>
              <w:start w:w="90" w:type="dxa"/>
              <w:bottom w:w="70" w:type="dxa"/>
              <w:end w:w="90" w:type="dxa"/>
            </w:tcMar>
            <w:vAlign w:val="center"/>
          </w:tcPr>
          <w:p>
            <w:pPr>
              <w:spacing w:after="0"/>
            </w:pPr>
            <w:r>
              <w:rPr>
                <w:rFonts w:ascii="Arial" w:hAnsi="Arial"/>
                <w:sz w:val="16"/>
              </w:rPr>
              <w:t>VI. Security</w:t>
            </w:r>
          </w:p>
        </w:tc>
        <w:tc>
          <w:tcPr>
            <w:tcW w:type="dxa" w:w="3427"/>
            <w:tcMar>
              <w:top w:w="70" w:type="dxa"/>
              <w:start w:w="90" w:type="dxa"/>
              <w:bottom w:w="70" w:type="dxa"/>
              <w:end w:w="90" w:type="dxa"/>
            </w:tcMar>
            <w:vAlign w:val="center"/>
          </w:tcPr>
          <w:p>
            <w:pPr>
              <w:spacing w:after="0"/>
            </w:pPr>
            <w:r>
              <w:rPr>
                <w:rFonts w:ascii="Arial" w:hAnsi="Arial"/>
                <w:sz w:val="16"/>
              </w:rPr>
              <w:t>Independent smart-contract audit and publication of results</w:t>
            </w:r>
          </w:p>
        </w:tc>
        <w:tc>
          <w:tcPr>
            <w:tcW w:type="dxa" w:w="3427"/>
            <w:tcMar>
              <w:top w:w="70" w:type="dxa"/>
              <w:start w:w="90" w:type="dxa"/>
              <w:bottom w:w="70" w:type="dxa"/>
              <w:end w:w="90" w:type="dxa"/>
            </w:tcMar>
            <w:vAlign w:val="center"/>
          </w:tcPr>
          <w:p>
            <w:pPr>
              <w:spacing w:after="0"/>
            </w:pPr>
            <w:r>
              <w:rPr>
                <w:rFonts w:ascii="Arial" w:hAnsi="Arial"/>
                <w:sz w:val="16"/>
              </w:rPr>
              <w:t>Planned / pending</w:t>
            </w:r>
          </w:p>
        </w:tc>
      </w:tr>
      <w:tr>
        <w:tc>
          <w:tcPr>
            <w:tcW w:type="dxa" w:w="3427"/>
            <w:tcMar>
              <w:top w:w="70" w:type="dxa"/>
              <w:start w:w="90" w:type="dxa"/>
              <w:bottom w:w="70" w:type="dxa"/>
              <w:end w:w="90" w:type="dxa"/>
            </w:tcMar>
            <w:vAlign w:val="center"/>
          </w:tcPr>
          <w:p>
            <w:pPr>
              <w:spacing w:after="0"/>
            </w:pPr>
            <w:r>
              <w:rPr>
                <w:rFonts w:ascii="Arial" w:hAnsi="Arial"/>
                <w:sz w:val="16"/>
              </w:rPr>
              <w:t>VII. Scale-up</w:t>
            </w:r>
          </w:p>
        </w:tc>
        <w:tc>
          <w:tcPr>
            <w:tcW w:type="dxa" w:w="3427"/>
            <w:tcMar>
              <w:top w:w="70" w:type="dxa"/>
              <w:start w:w="90" w:type="dxa"/>
              <w:bottom w:w="70" w:type="dxa"/>
              <w:end w:w="90" w:type="dxa"/>
            </w:tcMar>
            <w:vAlign w:val="center"/>
          </w:tcPr>
          <w:p>
            <w:pPr>
              <w:spacing w:after="0"/>
            </w:pPr>
            <w:r>
              <w:rPr>
                <w:rFonts w:ascii="Arial" w:hAnsi="Arial"/>
                <w:sz w:val="16"/>
              </w:rPr>
              <w:t>Liquidity growth, integrations and additional trading pairs</w:t>
            </w:r>
          </w:p>
        </w:tc>
        <w:tc>
          <w:tcPr>
            <w:tcW w:type="dxa" w:w="3427"/>
            <w:tcMar>
              <w:top w:w="70" w:type="dxa"/>
              <w:start w:w="90" w:type="dxa"/>
              <w:bottom w:w="70" w:type="dxa"/>
              <w:end w:w="90" w:type="dxa"/>
            </w:tcMar>
            <w:vAlign w:val="center"/>
          </w:tcPr>
          <w:p>
            <w:pPr>
              <w:spacing w:after="0"/>
            </w:pPr>
            <w:r>
              <w:rPr>
                <w:rFonts w:ascii="Arial" w:hAnsi="Arial"/>
                <w:sz w:val="16"/>
              </w:rPr>
              <w:t>After baseline verification</w:t>
            </w:r>
          </w:p>
        </w:tc>
      </w:tr>
    </w:tbl>
    <w:p>
      <w:pPr>
        <w:pStyle w:val="Heading1"/>
        <w:spacing w:before="80" w:after="40"/>
      </w:pPr>
      <w:r>
        <w:t>14. Document governance</w:t>
      </w:r>
    </w:p>
    <w:p>
      <w:pPr>
        <w:spacing w:after="40"/>
        <w:jc w:val="left"/>
      </w:pPr>
      <w:r>
        <w:rPr>
          <w:b w:val="0"/>
          <w:i w:val="0"/>
        </w:rPr>
        <w:t>Each new Whitepaper edition will carry a version number and publication date. Changes affecting supply, allocation, vesting, project-wallet purposes, liquidity policy or official addresses should be reflected consistently in both Tokenomics and Whitepaper.</w:t>
      </w:r>
    </w:p>
    <w:p>
      <w:pPr>
        <w:spacing w:after="40"/>
        <w:jc w:val="left"/>
      </w:pPr>
      <w:r>
        <w:rPr>
          <w:b w:val="0"/>
          <w:i w:val="0"/>
        </w:rPr>
        <w:t>A change in project policy does not modify the already deployed token code. The technical properties of NODA are determined by the actual on-chain contract.</w:t>
      </w:r>
    </w:p>
    <w:p>
      <w:pPr>
        <w:pStyle w:val="Heading1"/>
        <w:spacing w:before="80" w:after="40"/>
      </w:pPr>
      <w:r>
        <w:t>15. Legal and market disclosures</w:t>
      </w:r>
    </w:p>
    <w:p>
      <w:pPr>
        <w:spacing w:after="40"/>
        <w:jc w:val="left"/>
      </w:pPr>
      <w:r>
        <w:rPr>
          <w:b w:val="0"/>
          <w:i w:val="0"/>
        </w:rPr>
        <w:t>NODA is a blockchain token. This Whitepaper is a technical and informational document. It is not investment advice, a public offer, a promise of return, a guarantee of price, a guarantee of liquidity, or a redemption commitment.</w:t>
      </w:r>
    </w:p>
    <w:p>
      <w:pPr>
        <w:spacing w:after="40"/>
        <w:jc w:val="left"/>
      </w:pPr>
      <w:r>
        <w:rPr>
          <w:b w:val="0"/>
          <w:i w:val="0"/>
        </w:rPr>
        <w:t>The existence of a DEX trading pair does not guarantee execution at a particular price or size. NODA market price is determined by market activity and available liquidity.</w:t>
      </w:r>
    </w:p>
    <w:p>
      <w:pPr>
        <w:spacing w:after="40"/>
        <w:jc w:val="left"/>
      </w:pPr>
      <w:r>
        <w:rPr>
          <w:b w:val="0"/>
          <w:i w:val="0"/>
        </w:rPr>
        <w:t>References to the project’s official website and social channels identify the project’s public information sources. They do not, by themselves, constitute a representation that NODA or any related entity holds a banking license, payment-system authorization, credit-institution status or other regulated financial permission.</w:t>
      </w:r>
    </w:p>
    <w:p>
      <w:pPr>
        <w:spacing w:after="40"/>
        <w:jc w:val="left"/>
      </w:pPr>
      <w:r>
        <w:rPr>
          <w:b w:val="0"/>
          <w:i w:val="0"/>
        </w:rPr>
        <w:t>Users and counterparties are responsible for assessing applicable legal, tax, sanctions, compliance and other regulatory requirements in their own jurisdictions.</w:t>
      </w:r>
    </w:p>
    <w:p>
      <w:pPr>
        <w:pStyle w:val="Heading1"/>
        <w:spacing w:before="80" w:after="40"/>
      </w:pPr>
      <w:r>
        <w:t>Official references</w:t>
      </w:r>
    </w:p>
    <w:tbl>
      <w:tblPr>
        <w:tblStyle w:val="TableGrid"/>
        <w:tblW w:type="auto" w:w="0"/>
        <w:jc w:val="center"/>
        <w:tblLook w:firstColumn="1" w:firstRow="1" w:lastColumn="0" w:lastRow="0" w:noHBand="0" w:noVBand="1" w:val="04A0"/>
      </w:tblPr>
      <w:tblGrid>
        <w:gridCol w:w="5141"/>
        <w:gridCol w:w="5141"/>
      </w:tblGrid>
      <w:tr>
        <w:tc>
          <w:tcPr>
            <w:tcW w:type="dxa" w:w="5141"/>
            <w:shd w:fill="E9EEF5"/>
            <w:tcMar>
              <w:top w:w="70" w:type="dxa"/>
              <w:start w:w="90" w:type="dxa"/>
              <w:bottom w:w="70" w:type="dxa"/>
              <w:end w:w="90" w:type="dxa"/>
            </w:tcMar>
          </w:tcPr>
          <w:p>
            <w:r>
              <w:rPr>
                <w:rFonts w:ascii="Arial" w:hAnsi="Arial"/>
                <w:b/>
                <w:sz w:val="16"/>
              </w:rPr>
              <w:t>Reference</w:t>
            </w:r>
          </w:p>
        </w:tc>
        <w:tc>
          <w:tcPr>
            <w:tcW w:type="dxa" w:w="5141"/>
            <w:shd w:fill="E9EEF5"/>
            <w:tcMar>
              <w:top w:w="70" w:type="dxa"/>
              <w:start w:w="90" w:type="dxa"/>
              <w:bottom w:w="70" w:type="dxa"/>
              <w:end w:w="90" w:type="dxa"/>
            </w:tcMar>
          </w:tcPr>
          <w:p>
            <w:r>
              <w:rPr>
                <w:rFonts w:ascii="Arial" w:hAnsi="Arial"/>
                <w:b/>
                <w:sz w:val="16"/>
              </w:rPr>
              <w:t>Address</w:t>
            </w:r>
          </w:p>
        </w:tc>
      </w:tr>
      <w:tr>
        <w:tc>
          <w:tcPr>
            <w:tcW w:type="dxa" w:w="5141"/>
            <w:tcMar>
              <w:top w:w="35" w:type="dxa"/>
              <w:start w:w="65" w:type="dxa"/>
              <w:bottom w:w="35" w:type="dxa"/>
              <w:end w:w="65" w:type="dxa"/>
            </w:tcMar>
            <w:vAlign w:val="center"/>
          </w:tcPr>
          <w:p>
            <w:pPr>
              <w:spacing w:after="0"/>
            </w:pPr>
            <w:r>
              <w:rPr>
                <w:rFonts w:ascii="Arial" w:hAnsi="Arial"/>
                <w:sz w:val="14"/>
              </w:rPr>
              <w:t>NODA contract</w:t>
            </w:r>
          </w:p>
        </w:tc>
        <w:tc>
          <w:tcPr>
            <w:tcW w:type="dxa" w:w="5141"/>
            <w:tcMar>
              <w:top w:w="35" w:type="dxa"/>
              <w:start w:w="65" w:type="dxa"/>
              <w:bottom w:w="35" w:type="dxa"/>
              <w:end w:w="65" w:type="dxa"/>
            </w:tcMar>
            <w:vAlign w:val="center"/>
          </w:tcPr>
          <w:p>
            <w:pPr>
              <w:spacing w:after="0"/>
            </w:pPr>
            <w:r>
              <w:rPr>
                <w:rFonts w:ascii="Arial" w:hAnsi="Arial"/>
                <w:sz w:val="14"/>
              </w:rPr>
              <w:t>0x34027b8aab4daf79df81b470df05357c465bada6</w:t>
            </w:r>
          </w:p>
        </w:tc>
      </w:tr>
      <w:tr>
        <w:tc>
          <w:tcPr>
            <w:tcW w:type="dxa" w:w="5141"/>
            <w:tcMar>
              <w:top w:w="35" w:type="dxa"/>
              <w:start w:w="65" w:type="dxa"/>
              <w:bottom w:w="35" w:type="dxa"/>
              <w:end w:w="65" w:type="dxa"/>
            </w:tcMar>
            <w:vAlign w:val="center"/>
          </w:tcPr>
          <w:p>
            <w:pPr>
              <w:spacing w:after="0"/>
            </w:pPr>
            <w:r>
              <w:rPr>
                <w:rFonts w:ascii="Arial" w:hAnsi="Arial"/>
                <w:sz w:val="14"/>
              </w:rPr>
              <w:t>Creator / deployer</w:t>
            </w:r>
          </w:p>
        </w:tc>
        <w:tc>
          <w:tcPr>
            <w:tcW w:type="dxa" w:w="5141"/>
            <w:tcMar>
              <w:top w:w="35" w:type="dxa"/>
              <w:start w:w="65" w:type="dxa"/>
              <w:bottom w:w="35" w:type="dxa"/>
              <w:end w:w="65" w:type="dxa"/>
            </w:tcMar>
            <w:vAlign w:val="center"/>
          </w:tcPr>
          <w:p>
            <w:pPr>
              <w:spacing w:after="0"/>
            </w:pPr>
            <w:r>
              <w:rPr>
                <w:rFonts w:ascii="Arial" w:hAnsi="Arial"/>
                <w:sz w:val="14"/>
              </w:rPr>
              <w:t>0x22d67ed1B816Cf792702C512b93CC2f1b8eDdbFe</w:t>
            </w:r>
          </w:p>
        </w:tc>
      </w:tr>
      <w:tr>
        <w:tc>
          <w:tcPr>
            <w:tcW w:type="dxa" w:w="5141"/>
            <w:tcMar>
              <w:top w:w="35" w:type="dxa"/>
              <w:start w:w="65" w:type="dxa"/>
              <w:bottom w:w="35" w:type="dxa"/>
              <w:end w:w="65" w:type="dxa"/>
            </w:tcMar>
            <w:vAlign w:val="center"/>
          </w:tcPr>
          <w:p>
            <w:pPr>
              <w:spacing w:after="0"/>
            </w:pPr>
            <w:r>
              <w:rPr>
                <w:rFonts w:ascii="Arial" w:hAnsi="Arial"/>
                <w:sz w:val="14"/>
              </w:rPr>
              <w:t>Website</w:t>
            </w:r>
          </w:p>
        </w:tc>
        <w:tc>
          <w:tcPr>
            <w:tcW w:type="dxa" w:w="5141"/>
            <w:tcMar>
              <w:top w:w="35" w:type="dxa"/>
              <w:start w:w="65" w:type="dxa"/>
              <w:bottom w:w="35" w:type="dxa"/>
              <w:end w:w="65" w:type="dxa"/>
            </w:tcMar>
            <w:vAlign w:val="center"/>
          </w:tcPr>
          <w:p>
            <w:pPr>
              <w:spacing w:after="0"/>
            </w:pPr>
            <w:r>
              <w:rPr>
                <w:rFonts w:ascii="Arial" w:hAnsi="Arial"/>
                <w:sz w:val="14"/>
              </w:rPr>
              <w:t>https://nodabank.ru/en</w:t>
            </w:r>
          </w:p>
        </w:tc>
      </w:tr>
      <w:tr>
        <w:tc>
          <w:tcPr>
            <w:tcW w:type="dxa" w:w="5141"/>
            <w:tcMar>
              <w:top w:w="35" w:type="dxa"/>
              <w:start w:w="65" w:type="dxa"/>
              <w:bottom w:w="35" w:type="dxa"/>
              <w:end w:w="65" w:type="dxa"/>
            </w:tcMar>
            <w:vAlign w:val="center"/>
          </w:tcPr>
          <w:p>
            <w:pPr>
              <w:spacing w:after="0"/>
            </w:pPr>
            <w:r>
              <w:rPr>
                <w:rFonts w:ascii="Arial" w:hAnsi="Arial"/>
                <w:sz w:val="14"/>
              </w:rPr>
              <w:t>Telegram</w:t>
            </w:r>
          </w:p>
        </w:tc>
        <w:tc>
          <w:tcPr>
            <w:tcW w:type="dxa" w:w="5141"/>
            <w:tcMar>
              <w:top w:w="35" w:type="dxa"/>
              <w:start w:w="65" w:type="dxa"/>
              <w:bottom w:w="35" w:type="dxa"/>
              <w:end w:w="65" w:type="dxa"/>
            </w:tcMar>
            <w:vAlign w:val="center"/>
          </w:tcPr>
          <w:p>
            <w:pPr>
              <w:spacing w:after="0"/>
            </w:pPr>
            <w:r>
              <w:rPr>
                <w:rFonts w:ascii="Arial" w:hAnsi="Arial"/>
                <w:sz w:val="14"/>
              </w:rPr>
              <w:t>https://t.me/NODA_Token</w:t>
            </w:r>
          </w:p>
        </w:tc>
      </w:tr>
      <w:tr>
        <w:tc>
          <w:tcPr>
            <w:tcW w:type="dxa" w:w="5141"/>
            <w:tcMar>
              <w:top w:w="35" w:type="dxa"/>
              <w:start w:w="65" w:type="dxa"/>
              <w:bottom w:w="35" w:type="dxa"/>
              <w:end w:w="65" w:type="dxa"/>
            </w:tcMar>
            <w:vAlign w:val="center"/>
          </w:tcPr>
          <w:p>
            <w:pPr>
              <w:spacing w:after="0"/>
            </w:pPr>
            <w:r>
              <w:rPr>
                <w:rFonts w:ascii="Arial" w:hAnsi="Arial"/>
                <w:sz w:val="14"/>
              </w:rPr>
              <w:t>X</w:t>
            </w:r>
          </w:p>
        </w:tc>
        <w:tc>
          <w:tcPr>
            <w:tcW w:type="dxa" w:w="5141"/>
            <w:tcMar>
              <w:top w:w="35" w:type="dxa"/>
              <w:start w:w="65" w:type="dxa"/>
              <w:bottom w:w="35" w:type="dxa"/>
              <w:end w:w="65" w:type="dxa"/>
            </w:tcMar>
            <w:vAlign w:val="center"/>
          </w:tcPr>
          <w:p>
            <w:pPr>
              <w:spacing w:after="0"/>
            </w:pPr>
            <w:r>
              <w:rPr>
                <w:rFonts w:ascii="Arial" w:hAnsi="Arial"/>
                <w:sz w:val="14"/>
              </w:rPr>
              <w:t>https://x.com/NodaToken</w:t>
            </w:r>
          </w:p>
        </w:tc>
      </w:tr>
      <w:tr>
        <w:tc>
          <w:tcPr>
            <w:tcW w:type="dxa" w:w="5141"/>
            <w:tcMar>
              <w:top w:w="35" w:type="dxa"/>
              <w:start w:w="65" w:type="dxa"/>
              <w:bottom w:w="35" w:type="dxa"/>
              <w:end w:w="65" w:type="dxa"/>
            </w:tcMar>
            <w:vAlign w:val="center"/>
          </w:tcPr>
          <w:p>
            <w:pPr>
              <w:spacing w:after="0"/>
            </w:pPr>
            <w:r>
              <w:rPr>
                <w:rFonts w:ascii="Arial" w:hAnsi="Arial"/>
                <w:sz w:val="14"/>
              </w:rPr>
              <w:t>GeckoTerminal</w:t>
            </w:r>
          </w:p>
        </w:tc>
        <w:tc>
          <w:tcPr>
            <w:tcW w:type="dxa" w:w="5141"/>
            <w:tcMar>
              <w:top w:w="35" w:type="dxa"/>
              <w:start w:w="65" w:type="dxa"/>
              <w:bottom w:w="35" w:type="dxa"/>
              <w:end w:w="65" w:type="dxa"/>
            </w:tcMar>
            <w:vAlign w:val="center"/>
          </w:tcPr>
          <w:p>
            <w:pPr>
              <w:spacing w:after="0"/>
            </w:pPr>
            <w:r>
              <w:rPr>
                <w:sz w:val="14"/>
              </w:rPr>
              <w:t>geckoterminal.com/bsc/pools/0x2e8225ef29e0a2c928b9fefd53f9b6f359938cf1</w:t>
            </w:r>
          </w:p>
        </w:tc>
      </w:tr>
      <w:tr>
        <w:tc>
          <w:tcPr>
            <w:tcW w:type="dxa" w:w="5141"/>
            <w:tcMar>
              <w:top w:w="35" w:type="dxa"/>
              <w:start w:w="65" w:type="dxa"/>
              <w:bottom w:w="35" w:type="dxa"/>
              <w:end w:w="65" w:type="dxa"/>
            </w:tcMar>
            <w:vAlign w:val="center"/>
          </w:tcPr>
          <w:p>
            <w:pPr>
              <w:spacing w:after="0"/>
            </w:pPr>
            <w:r>
              <w:rPr>
                <w:rFonts w:ascii="Arial" w:hAnsi="Arial"/>
                <w:sz w:val="14"/>
              </w:rPr>
              <w:t>CoinMarketCap DEX</w:t>
            </w:r>
          </w:p>
        </w:tc>
        <w:tc>
          <w:tcPr>
            <w:tcW w:type="dxa" w:w="5141"/>
            <w:tcMar>
              <w:top w:w="35" w:type="dxa"/>
              <w:start w:w="65" w:type="dxa"/>
              <w:bottom w:w="35" w:type="dxa"/>
              <w:end w:w="65" w:type="dxa"/>
            </w:tcMar>
            <w:vAlign w:val="center"/>
          </w:tcPr>
          <w:p>
            <w:pPr>
              <w:spacing w:after="0"/>
            </w:pPr>
            <w:r>
              <w:rPr>
                <w:sz w:val="14"/>
              </w:rPr>
              <w:t>dex.coinmarketcap.com/token/bsc/0x34027b8aab4daf79df81b470df05357c465bada6</w:t>
            </w:r>
          </w:p>
        </w:tc>
      </w:tr>
    </w:tbl>
    <w:sectPr w:rsidR="00FC693F" w:rsidRPr="0006063C" w:rsidSect="00034616">
      <w:footerReference w:type="default" r:id="rId10"/>
      <w:pgSz w:w="12240" w:h="15840"/>
      <w:pgMar w:top="792" w:right="979" w:bottom="79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NODA • Whitepaper v1.1 • Public Release • 10.09.2026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22934"/>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22934"/>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222934"/>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22934"/>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