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492240" cy="2180987"/>
            <wp:docPr id="1" name="Picture 1"/>
            <wp:cNvGraphicFramePr>
              <a:graphicFrameLocks noChangeAspect="1"/>
            </wp:cNvGraphicFramePr>
            <a:graphic>
              <a:graphicData uri="http://schemas.openxmlformats.org/drawingml/2006/picture">
                <pic:pic>
                  <pic:nvPicPr>
                    <pic:cNvPr id="0" name="ChatGPT Image 8 сент. 2026 г., 17_54_58.png"/>
                    <pic:cNvPicPr/>
                  </pic:nvPicPr>
                  <pic:blipFill>
                    <a:blip r:embed="rId9"/>
                    <a:stretch>
                      <a:fillRect/>
                    </a:stretch>
                  </pic:blipFill>
                  <pic:spPr>
                    <a:xfrm>
                      <a:off x="0" y="0"/>
                      <a:ext cx="6492240" cy="2180987"/>
                    </a:xfrm>
                    <a:prstGeom prst="rect"/>
                  </pic:spPr>
                </pic:pic>
              </a:graphicData>
            </a:graphic>
          </wp:inline>
        </w:drawing>
      </w:r>
    </w:p>
    <w:p>
      <w:pPr>
        <w:jc w:val="center"/>
      </w:pPr>
      <w:r>
        <w:rPr>
          <w:rFonts w:ascii="Arial" w:hAnsi="Arial"/>
          <w:b/>
          <w:sz w:val="64"/>
        </w:rPr>
        <w:t>NODA</w:t>
      </w:r>
    </w:p>
    <w:p>
      <w:pPr>
        <w:jc w:val="center"/>
      </w:pPr>
      <w:r>
        <w:rPr>
          <w:rFonts w:ascii="Arial" w:hAnsi="Arial"/>
          <w:b/>
          <w:sz w:val="44"/>
        </w:rPr>
        <w:t>TOKENOMICS v1.1</w:t>
      </w:r>
    </w:p>
    <w:p>
      <w:pPr>
        <w:jc w:val="center"/>
      </w:pPr>
      <w:r>
        <w:rPr>
          <w:i/>
          <w:sz w:val="24"/>
        </w:rPr>
        <w:t>Issuance, Allocation, Vesting and Liquidity Policy</w:t>
      </w:r>
    </w:p>
    <w:p>
      <w:pPr>
        <w:jc w:val="center"/>
      </w:pPr>
      <w:r>
        <w:rPr>
          <w:b/>
        </w:rPr>
        <w:t>BNB Smart Chain  •  Fixed Supply  •  21,000,000,000 NODA</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E9EEF5"/>
            <w:vAlign w:val="center"/>
            <w:tcMar>
              <w:top w:w="80" w:type="dxa"/>
              <w:start w:w="100" w:type="dxa"/>
              <w:bottom w:w="80" w:type="dxa"/>
              <w:end w:w="100" w:type="dxa"/>
            </w:tcMar>
          </w:tcPr>
          <w:p>
            <w:r>
              <w:rPr>
                <w:b/>
                <w:sz w:val="17"/>
              </w:rPr>
              <w:t>Parameter</w:t>
            </w:r>
          </w:p>
        </w:tc>
        <w:tc>
          <w:tcPr>
            <w:tcW w:type="dxa" w:w="3408"/>
            <w:shd w:fill="E9EEF5"/>
            <w:vAlign w:val="center"/>
            <w:tcMar>
              <w:top w:w="80" w:type="dxa"/>
              <w:start w:w="100" w:type="dxa"/>
              <w:bottom w:w="80" w:type="dxa"/>
              <w:end w:w="100" w:type="dxa"/>
            </w:tcMar>
          </w:tcPr>
          <w:p>
            <w:r>
              <w:rPr>
                <w:b/>
                <w:sz w:val="17"/>
              </w:rPr>
              <w:t>Value</w:t>
            </w:r>
          </w:p>
        </w:tc>
        <w:tc>
          <w:tcPr>
            <w:tcW w:type="dxa" w:w="3408"/>
            <w:shd w:fill="E9EEF5"/>
            <w:vAlign w:val="center"/>
            <w:tcMar>
              <w:top w:w="80" w:type="dxa"/>
              <w:start w:w="100" w:type="dxa"/>
              <w:bottom w:w="80" w:type="dxa"/>
              <w:end w:w="100" w:type="dxa"/>
            </w:tcMar>
          </w:tcPr>
          <w:p>
            <w:r>
              <w:rPr>
                <w:b/>
                <w:sz w:val="17"/>
              </w:rPr>
              <w:t>Status</w:t>
            </w:r>
          </w:p>
        </w:tc>
      </w:tr>
      <w:tr>
        <w:tc>
          <w:tcPr>
            <w:tcW w:type="dxa" w:w="3408"/>
            <w:vAlign w:val="center"/>
            <w:tcMar>
              <w:top w:w="80" w:type="dxa"/>
              <w:start w:w="100" w:type="dxa"/>
              <w:bottom w:w="80" w:type="dxa"/>
              <w:end w:w="100" w:type="dxa"/>
            </w:tcMar>
          </w:tcPr>
          <w:p>
            <w:pPr>
              <w:spacing w:after="0"/>
            </w:pPr>
            <w:r>
              <w:rPr>
                <w:rFonts w:ascii="Arial" w:hAnsi="Arial"/>
                <w:sz w:val="16"/>
              </w:rPr>
              <w:t>Token</w:t>
            </w:r>
          </w:p>
        </w:tc>
        <w:tc>
          <w:tcPr>
            <w:tcW w:type="dxa" w:w="3408"/>
            <w:vAlign w:val="center"/>
            <w:tcMar>
              <w:top w:w="80" w:type="dxa"/>
              <w:start w:w="100" w:type="dxa"/>
              <w:bottom w:w="80" w:type="dxa"/>
              <w:end w:w="100" w:type="dxa"/>
            </w:tcMar>
          </w:tcPr>
          <w:p>
            <w:pPr>
              <w:spacing w:after="0"/>
            </w:pPr>
            <w:r>
              <w:rPr>
                <w:rFonts w:ascii="Arial" w:hAnsi="Arial"/>
                <w:sz w:val="16"/>
              </w:rPr>
              <w:t>NODA</w:t>
            </w:r>
          </w:p>
        </w:tc>
        <w:tc>
          <w:tcPr>
            <w:tcW w:type="dxa" w:w="3408"/>
            <w:vAlign w:val="center"/>
            <w:tcMar>
              <w:top w:w="80" w:type="dxa"/>
              <w:start w:w="100" w:type="dxa"/>
              <w:bottom w:w="80" w:type="dxa"/>
              <w:end w:w="100" w:type="dxa"/>
            </w:tcMar>
          </w:tcPr>
          <w:p>
            <w:pPr>
              <w:spacing w:after="0"/>
            </w:pPr>
            <w:r>
              <w:rPr>
                <w:rFonts w:ascii="Arial" w:hAnsi="Arial"/>
                <w:sz w:val="16"/>
              </w:rPr>
              <w:t>Confirmed</w:t>
            </w:r>
          </w:p>
        </w:tc>
      </w:tr>
      <w:tr>
        <w:tc>
          <w:tcPr>
            <w:tcW w:type="dxa" w:w="3408"/>
            <w:vAlign w:val="center"/>
            <w:tcMar>
              <w:top w:w="80" w:type="dxa"/>
              <w:start w:w="100" w:type="dxa"/>
              <w:bottom w:w="80" w:type="dxa"/>
              <w:end w:w="100" w:type="dxa"/>
            </w:tcMar>
          </w:tcPr>
          <w:p>
            <w:pPr>
              <w:spacing w:after="0"/>
            </w:pPr>
            <w:r>
              <w:rPr>
                <w:rFonts w:ascii="Arial" w:hAnsi="Arial"/>
                <w:sz w:val="16"/>
              </w:rPr>
              <w:t>Network</w:t>
            </w:r>
          </w:p>
        </w:tc>
        <w:tc>
          <w:tcPr>
            <w:tcW w:type="dxa" w:w="3408"/>
            <w:vAlign w:val="center"/>
            <w:tcMar>
              <w:top w:w="80" w:type="dxa"/>
              <w:start w:w="100" w:type="dxa"/>
              <w:bottom w:w="80" w:type="dxa"/>
              <w:end w:w="100" w:type="dxa"/>
            </w:tcMar>
          </w:tcPr>
          <w:p>
            <w:pPr>
              <w:spacing w:after="0"/>
            </w:pPr>
            <w:r>
              <w:rPr>
                <w:rFonts w:ascii="Arial" w:hAnsi="Arial"/>
                <w:sz w:val="16"/>
              </w:rPr>
              <w:t>BNB Smart Chain (BSC)</w:t>
            </w:r>
          </w:p>
        </w:tc>
        <w:tc>
          <w:tcPr>
            <w:tcW w:type="dxa" w:w="3408"/>
            <w:vAlign w:val="center"/>
            <w:tcMar>
              <w:top w:w="80" w:type="dxa"/>
              <w:start w:w="100" w:type="dxa"/>
              <w:bottom w:w="80" w:type="dxa"/>
              <w:end w:w="100" w:type="dxa"/>
            </w:tcMar>
          </w:tcPr>
          <w:p>
            <w:pPr>
              <w:spacing w:after="0"/>
            </w:pPr>
            <w:r>
              <w:rPr>
                <w:rFonts w:ascii="Arial" w:hAnsi="Arial"/>
                <w:sz w:val="16"/>
              </w:rPr>
              <w:t>Confirmed</w:t>
            </w:r>
          </w:p>
        </w:tc>
      </w:tr>
      <w:tr>
        <w:tc>
          <w:tcPr>
            <w:tcW w:type="dxa" w:w="3408"/>
            <w:vAlign w:val="center"/>
            <w:tcMar>
              <w:top w:w="80" w:type="dxa"/>
              <w:start w:w="100" w:type="dxa"/>
              <w:bottom w:w="80" w:type="dxa"/>
              <w:end w:w="100" w:type="dxa"/>
            </w:tcMar>
          </w:tcPr>
          <w:p>
            <w:pPr>
              <w:spacing w:after="0"/>
            </w:pPr>
            <w:r>
              <w:rPr>
                <w:rFonts w:ascii="Arial" w:hAnsi="Arial"/>
                <w:sz w:val="16"/>
              </w:rPr>
              <w:t>Contract</w:t>
            </w:r>
          </w:p>
        </w:tc>
        <w:tc>
          <w:tcPr>
            <w:tcW w:type="dxa" w:w="3408"/>
            <w:vAlign w:val="center"/>
            <w:tcMar>
              <w:top w:w="80" w:type="dxa"/>
              <w:start w:w="100" w:type="dxa"/>
              <w:bottom w:w="80" w:type="dxa"/>
              <w:end w:w="100" w:type="dxa"/>
            </w:tcMar>
          </w:tcPr>
          <w:p>
            <w:pPr>
              <w:spacing w:after="0"/>
            </w:pPr>
            <w:r>
              <w:rPr>
                <w:rFonts w:ascii="Arial" w:hAnsi="Arial"/>
                <w:sz w:val="16"/>
              </w:rPr>
              <w:t>0x34027b8aab4daf79df81b470df05357c465bada6</w:t>
            </w:r>
          </w:p>
        </w:tc>
        <w:tc>
          <w:tcPr>
            <w:tcW w:type="dxa" w:w="3408"/>
            <w:vAlign w:val="center"/>
            <w:tcMar>
              <w:top w:w="80" w:type="dxa"/>
              <w:start w:w="100" w:type="dxa"/>
              <w:bottom w:w="80" w:type="dxa"/>
              <w:end w:w="100" w:type="dxa"/>
            </w:tcMar>
          </w:tcPr>
          <w:p>
            <w:pPr>
              <w:spacing w:after="0"/>
            </w:pPr>
            <w:r>
              <w:rPr>
                <w:rFonts w:ascii="Arial" w:hAnsi="Arial"/>
                <w:sz w:val="16"/>
              </w:rPr>
              <w:t>Owner-confirmed</w:t>
            </w:r>
          </w:p>
        </w:tc>
      </w:tr>
      <w:tr>
        <w:tc>
          <w:tcPr>
            <w:tcW w:type="dxa" w:w="3408"/>
            <w:vAlign w:val="center"/>
            <w:tcMar>
              <w:top w:w="80" w:type="dxa"/>
              <w:start w:w="100" w:type="dxa"/>
              <w:bottom w:w="80" w:type="dxa"/>
              <w:end w:w="100" w:type="dxa"/>
            </w:tcMar>
          </w:tcPr>
          <w:p>
            <w:pPr>
              <w:spacing w:after="0"/>
            </w:pPr>
            <w:r>
              <w:rPr>
                <w:rFonts w:ascii="Arial" w:hAnsi="Arial"/>
                <w:sz w:val="16"/>
              </w:rPr>
              <w:t>Total Supply</w:t>
            </w:r>
          </w:p>
        </w:tc>
        <w:tc>
          <w:tcPr>
            <w:tcW w:type="dxa" w:w="3408"/>
            <w:vAlign w:val="center"/>
            <w:tcMar>
              <w:top w:w="80" w:type="dxa"/>
              <w:start w:w="100" w:type="dxa"/>
              <w:bottom w:w="80" w:type="dxa"/>
              <w:end w:w="100" w:type="dxa"/>
            </w:tcMar>
          </w:tcPr>
          <w:p>
            <w:pPr>
              <w:spacing w:after="0"/>
            </w:pPr>
            <w:r>
              <w:rPr>
                <w:rFonts w:ascii="Arial" w:hAnsi="Arial"/>
                <w:sz w:val="16"/>
              </w:rPr>
              <w:t>21,000,000,000 NODA</w:t>
            </w:r>
          </w:p>
        </w:tc>
        <w:tc>
          <w:tcPr>
            <w:tcW w:type="dxa" w:w="3408"/>
            <w:vAlign w:val="center"/>
            <w:tcMar>
              <w:top w:w="80" w:type="dxa"/>
              <w:start w:w="100" w:type="dxa"/>
              <w:bottom w:w="80" w:type="dxa"/>
              <w:end w:w="100" w:type="dxa"/>
            </w:tcMar>
          </w:tcPr>
          <w:p>
            <w:pPr>
              <w:spacing w:after="0"/>
            </w:pPr>
            <w:r>
              <w:rPr>
                <w:rFonts w:ascii="Arial" w:hAnsi="Arial"/>
                <w:sz w:val="16"/>
              </w:rPr>
              <w:t>Fixed</w:t>
            </w:r>
          </w:p>
        </w:tc>
      </w:tr>
      <w:tr>
        <w:tc>
          <w:tcPr>
            <w:tcW w:type="dxa" w:w="3408"/>
            <w:vAlign w:val="center"/>
            <w:tcMar>
              <w:top w:w="80" w:type="dxa"/>
              <w:start w:w="100" w:type="dxa"/>
              <w:bottom w:w="80" w:type="dxa"/>
              <w:end w:w="100" w:type="dxa"/>
            </w:tcMar>
          </w:tcPr>
          <w:p>
            <w:pPr>
              <w:spacing w:after="0"/>
            </w:pPr>
            <w:r>
              <w:rPr>
                <w:rFonts w:ascii="Arial" w:hAnsi="Arial"/>
                <w:sz w:val="16"/>
              </w:rPr>
              <w:t>Decimals</w:t>
            </w:r>
          </w:p>
        </w:tc>
        <w:tc>
          <w:tcPr>
            <w:tcW w:type="dxa" w:w="3408"/>
            <w:vAlign w:val="center"/>
            <w:tcMar>
              <w:top w:w="80" w:type="dxa"/>
              <w:start w:w="100" w:type="dxa"/>
              <w:bottom w:w="80" w:type="dxa"/>
              <w:end w:w="100" w:type="dxa"/>
            </w:tcMar>
          </w:tcPr>
          <w:p>
            <w:pPr>
              <w:spacing w:after="0"/>
            </w:pPr>
            <w:r>
              <w:rPr>
                <w:rFonts w:ascii="Arial" w:hAnsi="Arial"/>
                <w:sz w:val="16"/>
              </w:rPr>
              <w:t>18</w:t>
            </w:r>
          </w:p>
        </w:tc>
        <w:tc>
          <w:tcPr>
            <w:tcW w:type="dxa" w:w="3408"/>
            <w:vAlign w:val="center"/>
            <w:tcMar>
              <w:top w:w="80" w:type="dxa"/>
              <w:start w:w="100" w:type="dxa"/>
              <w:bottom w:w="80" w:type="dxa"/>
              <w:end w:w="100" w:type="dxa"/>
            </w:tcMar>
          </w:tcPr>
          <w:p>
            <w:pPr>
              <w:spacing w:after="0"/>
            </w:pPr>
            <w:r>
              <w:rPr>
                <w:rFonts w:ascii="Arial" w:hAnsi="Arial"/>
                <w:sz w:val="16"/>
              </w:rPr>
              <w:t>Confirmed</w:t>
            </w:r>
          </w:p>
        </w:tc>
      </w:tr>
      <w:tr>
        <w:tc>
          <w:tcPr>
            <w:tcW w:type="dxa" w:w="3408"/>
            <w:vAlign w:val="center"/>
            <w:tcMar>
              <w:top w:w="80" w:type="dxa"/>
              <w:start w:w="100" w:type="dxa"/>
              <w:bottom w:w="80" w:type="dxa"/>
              <w:end w:w="100" w:type="dxa"/>
            </w:tcMar>
          </w:tcPr>
          <w:p>
            <w:pPr>
              <w:spacing w:after="0"/>
            </w:pPr>
            <w:r>
              <w:rPr>
                <w:rFonts w:ascii="Arial" w:hAnsi="Arial"/>
                <w:sz w:val="16"/>
              </w:rPr>
              <w:t>Source Verification</w:t>
            </w:r>
          </w:p>
        </w:tc>
        <w:tc>
          <w:tcPr>
            <w:tcW w:type="dxa" w:w="3408"/>
            <w:vAlign w:val="center"/>
            <w:tcMar>
              <w:top w:w="80" w:type="dxa"/>
              <w:start w:w="100" w:type="dxa"/>
              <w:bottom w:w="80" w:type="dxa"/>
              <w:end w:w="100" w:type="dxa"/>
            </w:tcMar>
          </w:tcPr>
          <w:p>
            <w:pPr>
              <w:spacing w:after="0"/>
            </w:pPr>
            <w:r>
              <w:rPr>
                <w:rFonts w:ascii="Arial" w:hAnsi="Arial"/>
                <w:sz w:val="16"/>
              </w:rPr>
              <w:t>BscScan Exact Match</w:t>
            </w:r>
          </w:p>
        </w:tc>
        <w:tc>
          <w:tcPr>
            <w:tcW w:type="dxa" w:w="3408"/>
            <w:vAlign w:val="center"/>
            <w:tcMar>
              <w:top w:w="80" w:type="dxa"/>
              <w:start w:w="100" w:type="dxa"/>
              <w:bottom w:w="80" w:type="dxa"/>
              <w:end w:w="100" w:type="dxa"/>
            </w:tcMar>
          </w:tcPr>
          <w:p>
            <w:pPr>
              <w:spacing w:after="0"/>
            </w:pPr>
            <w:r>
              <w:rPr>
                <w:rFonts w:ascii="Arial" w:hAnsi="Arial"/>
                <w:sz w:val="16"/>
              </w:rPr>
              <w:t>Confirmed</w:t>
            </w:r>
          </w:p>
        </w:tc>
      </w:tr>
      <w:tr>
        <w:tc>
          <w:tcPr>
            <w:tcW w:type="dxa" w:w="3408"/>
            <w:vAlign w:val="center"/>
            <w:tcMar>
              <w:top w:w="80" w:type="dxa"/>
              <w:start w:w="100" w:type="dxa"/>
              <w:bottom w:w="80" w:type="dxa"/>
              <w:end w:w="100" w:type="dxa"/>
            </w:tcMar>
          </w:tcPr>
          <w:p>
            <w:pPr>
              <w:spacing w:after="0"/>
            </w:pPr>
            <w:r>
              <w:rPr>
                <w:rFonts w:ascii="Arial" w:hAnsi="Arial"/>
                <w:sz w:val="16"/>
              </w:rPr>
              <w:t>Creator / Deployer</w:t>
            </w:r>
          </w:p>
        </w:tc>
        <w:tc>
          <w:tcPr>
            <w:tcW w:type="dxa" w:w="3408"/>
            <w:vAlign w:val="center"/>
            <w:tcMar>
              <w:top w:w="80" w:type="dxa"/>
              <w:start w:w="100" w:type="dxa"/>
              <w:bottom w:w="80" w:type="dxa"/>
              <w:end w:w="100" w:type="dxa"/>
            </w:tcMar>
          </w:tcPr>
          <w:p>
            <w:pPr>
              <w:spacing w:after="0"/>
            </w:pPr>
            <w:r>
              <w:rPr>
                <w:rFonts w:ascii="Arial" w:hAnsi="Arial"/>
                <w:sz w:val="16"/>
              </w:rPr>
              <w:t>0x22d67ed1B816Cf792702C512b93CC2f1b8eDdbFe</w:t>
            </w:r>
          </w:p>
        </w:tc>
        <w:tc>
          <w:tcPr>
            <w:tcW w:type="dxa" w:w="3408"/>
            <w:vAlign w:val="center"/>
            <w:tcMar>
              <w:top w:w="80" w:type="dxa"/>
              <w:start w:w="100" w:type="dxa"/>
              <w:bottom w:w="80" w:type="dxa"/>
              <w:end w:w="100" w:type="dxa"/>
            </w:tcMar>
          </w:tcPr>
          <w:p>
            <w:pPr>
              <w:spacing w:after="0"/>
            </w:pPr>
            <w:r>
              <w:rPr>
                <w:rFonts w:ascii="Arial" w:hAnsi="Arial"/>
                <w:sz w:val="16"/>
              </w:rPr>
              <w:t>Owner-confirmed</w:t>
            </w:r>
          </w:p>
        </w:tc>
      </w:tr>
    </w:tbl>
    <w:p>
      <w:pPr>
        <w:spacing w:before="200"/>
        <w:jc w:val="center"/>
      </w:pPr>
      <w:r>
        <w:rPr>
          <w:i/>
          <w:sz w:val="18"/>
        </w:rPr>
        <w:t>Version 1.1 • September 10, 2026</w:t>
      </w:r>
    </w:p>
    <w:p>
      <w:r>
        <w:br w:type="page"/>
      </w:r>
    </w:p>
    <w:p>
      <w:pPr>
        <w:pStyle w:val="Heading1"/>
      </w:pPr>
      <w:r>
        <w:t>1. Core Principles</w:t>
      </w:r>
    </w:p>
    <w:p>
      <w:r>
        <w:t>NODA uses a fixed-supply model on BNB Smart Chain. The total supply is permanently capped at 21 billion NODA. According to the verified contract source code, no public mint function is available.</w:t>
      </w:r>
    </w:p>
    <w:p>
      <w:pPr>
        <w:pStyle w:val="ListBullet"/>
        <w:spacing w:after="40"/>
      </w:pPr>
      <w:r>
        <w:t>No issuance beyond 21 billion NODA is provided for.</w:t>
      </w:r>
    </w:p>
    <w:p>
      <w:pPr>
        <w:pStyle w:val="ListBullet"/>
        <w:spacing w:after="40"/>
      </w:pPr>
      <w:r>
        <w:t>The contract has no owner/admin, blacklist, pause, transfer tax/fee or upgradeability functions.</w:t>
      </w:r>
    </w:p>
    <w:p>
      <w:pPr>
        <w:pStyle w:val="ListBullet"/>
        <w:spacing w:after="40"/>
      </w:pPr>
      <w:r>
        <w:t>Transfers between project wallets do not constitute new issuance.</w:t>
      </w:r>
    </w:p>
    <w:p>
      <w:pPr>
        <w:pStyle w:val="ListBullet"/>
        <w:spacing w:after="40"/>
      </w:pPr>
      <w:r>
        <w:t>Token allocation and actual circulating supply are treated as separate concepts.</w:t>
      </w:r>
    </w:p>
    <w:p>
      <w:pPr>
        <w:pStyle w:val="ListBullet"/>
        <w:spacing w:after="40"/>
      </w:pPr>
      <w:r>
        <w:t>Material movements from project wallets are subject to separate monitoring by NODA Control.</w:t>
      </w:r>
    </w:p>
    <w:p>
      <w:pPr>
        <w:pStyle w:val="Heading1"/>
      </w:pPr>
      <w:r>
        <w:t>2. Total Supply Allocation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E9EEF5"/>
            <w:vAlign w:val="center"/>
            <w:tcMar>
              <w:top w:w="80" w:type="dxa"/>
              <w:start w:w="100" w:type="dxa"/>
              <w:bottom w:w="80" w:type="dxa"/>
              <w:end w:w="100" w:type="dxa"/>
            </w:tcMar>
          </w:tcPr>
          <w:p>
            <w:r>
              <w:rPr>
                <w:b/>
                <w:sz w:val="17"/>
              </w:rPr>
              <w:t>Allocation</w:t>
            </w:r>
          </w:p>
        </w:tc>
        <w:tc>
          <w:tcPr>
            <w:tcW w:type="dxa" w:w="2556"/>
            <w:shd w:fill="E9EEF5"/>
            <w:vAlign w:val="center"/>
            <w:tcMar>
              <w:top w:w="80" w:type="dxa"/>
              <w:start w:w="100" w:type="dxa"/>
              <w:bottom w:w="80" w:type="dxa"/>
              <w:end w:w="100" w:type="dxa"/>
            </w:tcMar>
          </w:tcPr>
          <w:p>
            <w:r>
              <w:rPr>
                <w:b/>
                <w:sz w:val="17"/>
              </w:rPr>
              <w:t>Amount (NODA)</w:t>
            </w:r>
          </w:p>
        </w:tc>
        <w:tc>
          <w:tcPr>
            <w:tcW w:type="dxa" w:w="2556"/>
            <w:shd w:fill="E9EEF5"/>
            <w:vAlign w:val="center"/>
            <w:tcMar>
              <w:top w:w="80" w:type="dxa"/>
              <w:start w:w="100" w:type="dxa"/>
              <w:bottom w:w="80" w:type="dxa"/>
              <w:end w:w="100" w:type="dxa"/>
            </w:tcMar>
          </w:tcPr>
          <w:p>
            <w:r>
              <w:rPr>
                <w:b/>
                <w:sz w:val="17"/>
              </w:rPr>
              <w:t>Share</w:t>
            </w:r>
          </w:p>
        </w:tc>
        <w:tc>
          <w:tcPr>
            <w:tcW w:type="dxa" w:w="2556"/>
            <w:shd w:fill="E9EEF5"/>
            <w:vAlign w:val="center"/>
            <w:tcMar>
              <w:top w:w="80" w:type="dxa"/>
              <w:start w:w="100" w:type="dxa"/>
              <w:bottom w:w="80" w:type="dxa"/>
              <w:end w:w="100" w:type="dxa"/>
            </w:tcMar>
          </w:tcPr>
          <w:p>
            <w:r>
              <w:rPr>
                <w:b/>
                <w:sz w:val="17"/>
              </w:rPr>
              <w:t>Public Label</w:t>
            </w:r>
          </w:p>
        </w:tc>
      </w:tr>
      <w:tr>
        <w:tc>
          <w:tcPr>
            <w:tcW w:type="dxa" w:w="2556"/>
            <w:vAlign w:val="center"/>
            <w:tcMar>
              <w:top w:w="80" w:type="dxa"/>
              <w:start w:w="100" w:type="dxa"/>
              <w:bottom w:w="80" w:type="dxa"/>
              <w:end w:w="100" w:type="dxa"/>
            </w:tcMar>
          </w:tcPr>
          <w:p>
            <w:pPr>
              <w:spacing w:after="0"/>
            </w:pPr>
            <w:r>
              <w:rPr>
                <w:rFonts w:ascii="Arial" w:hAnsi="Arial"/>
                <w:sz w:val="16"/>
              </w:rPr>
              <w:t>Treasury</w:t>
            </w:r>
          </w:p>
        </w:tc>
        <w:tc>
          <w:tcPr>
            <w:tcW w:type="dxa" w:w="2556"/>
            <w:vAlign w:val="center"/>
            <w:tcMar>
              <w:top w:w="80" w:type="dxa"/>
              <w:start w:w="100" w:type="dxa"/>
              <w:bottom w:w="80" w:type="dxa"/>
              <w:end w:w="100" w:type="dxa"/>
            </w:tcMar>
          </w:tcPr>
          <w:p>
            <w:pPr>
              <w:spacing w:after="0"/>
            </w:pPr>
            <w:r>
              <w:rPr>
                <w:rFonts w:ascii="Arial" w:hAnsi="Arial"/>
                <w:sz w:val="16"/>
              </w:rPr>
              <w:t>8,000,000,000</w:t>
            </w:r>
          </w:p>
        </w:tc>
        <w:tc>
          <w:tcPr>
            <w:tcW w:type="dxa" w:w="2556"/>
            <w:vAlign w:val="center"/>
            <w:tcMar>
              <w:top w:w="80" w:type="dxa"/>
              <w:start w:w="100" w:type="dxa"/>
              <w:bottom w:w="80" w:type="dxa"/>
              <w:end w:w="100" w:type="dxa"/>
            </w:tcMar>
          </w:tcPr>
          <w:p>
            <w:pPr>
              <w:spacing w:after="0"/>
            </w:pPr>
            <w:r>
              <w:rPr>
                <w:rFonts w:ascii="Arial" w:hAnsi="Arial"/>
                <w:sz w:val="16"/>
              </w:rPr>
              <w:t>38.0952%</w:t>
            </w:r>
          </w:p>
        </w:tc>
        <w:tc>
          <w:tcPr>
            <w:tcW w:type="dxa" w:w="2556"/>
            <w:vAlign w:val="center"/>
            <w:tcMar>
              <w:top w:w="80" w:type="dxa"/>
              <w:start w:w="100" w:type="dxa"/>
              <w:bottom w:w="80" w:type="dxa"/>
              <w:end w:w="100" w:type="dxa"/>
            </w:tcMar>
          </w:tcPr>
          <w:p>
            <w:pPr>
              <w:spacing w:after="0"/>
            </w:pPr>
            <w:r>
              <w:rPr>
                <w:rFonts w:ascii="Arial" w:hAnsi="Arial"/>
                <w:sz w:val="16"/>
              </w:rPr>
              <w:t>nodatreasury.bnb</w:t>
            </w:r>
          </w:p>
        </w:tc>
      </w:tr>
      <w:tr>
        <w:tc>
          <w:tcPr>
            <w:tcW w:type="dxa" w:w="2556"/>
            <w:vAlign w:val="center"/>
            <w:tcMar>
              <w:top w:w="80" w:type="dxa"/>
              <w:start w:w="100" w:type="dxa"/>
              <w:bottom w:w="80" w:type="dxa"/>
              <w:end w:w="100" w:type="dxa"/>
            </w:tcMar>
          </w:tcPr>
          <w:p>
            <w:pPr>
              <w:spacing w:after="0"/>
            </w:pPr>
            <w:r>
              <w:rPr>
                <w:rFonts w:ascii="Arial" w:hAnsi="Arial"/>
                <w:sz w:val="16"/>
              </w:rPr>
              <w:t>Reserve</w:t>
            </w:r>
          </w:p>
        </w:tc>
        <w:tc>
          <w:tcPr>
            <w:tcW w:type="dxa" w:w="2556"/>
            <w:vAlign w:val="center"/>
            <w:tcMar>
              <w:top w:w="80" w:type="dxa"/>
              <w:start w:w="100" w:type="dxa"/>
              <w:bottom w:w="80" w:type="dxa"/>
              <w:end w:w="100" w:type="dxa"/>
            </w:tcMar>
          </w:tcPr>
          <w:p>
            <w:pPr>
              <w:spacing w:after="0"/>
            </w:pPr>
            <w:r>
              <w:rPr>
                <w:rFonts w:ascii="Arial" w:hAnsi="Arial"/>
                <w:sz w:val="16"/>
              </w:rPr>
              <w:t>7,000,000,000</w:t>
            </w:r>
          </w:p>
        </w:tc>
        <w:tc>
          <w:tcPr>
            <w:tcW w:type="dxa" w:w="2556"/>
            <w:vAlign w:val="center"/>
            <w:tcMar>
              <w:top w:w="80" w:type="dxa"/>
              <w:start w:w="100" w:type="dxa"/>
              <w:bottom w:w="80" w:type="dxa"/>
              <w:end w:w="100" w:type="dxa"/>
            </w:tcMar>
          </w:tcPr>
          <w:p>
            <w:pPr>
              <w:spacing w:after="0"/>
            </w:pPr>
            <w:r>
              <w:rPr>
                <w:rFonts w:ascii="Arial" w:hAnsi="Arial"/>
                <w:sz w:val="16"/>
              </w:rPr>
              <w:t>33.3333%</w:t>
            </w:r>
          </w:p>
        </w:tc>
        <w:tc>
          <w:tcPr>
            <w:tcW w:type="dxa" w:w="2556"/>
            <w:vAlign w:val="center"/>
            <w:tcMar>
              <w:top w:w="80" w:type="dxa"/>
              <w:start w:w="100" w:type="dxa"/>
              <w:bottom w:w="80" w:type="dxa"/>
              <w:end w:w="100" w:type="dxa"/>
            </w:tcMar>
          </w:tcPr>
          <w:p>
            <w:pPr>
              <w:spacing w:after="0"/>
            </w:pPr>
            <w:r>
              <w:rPr>
                <w:rFonts w:ascii="Arial" w:hAnsi="Arial"/>
                <w:sz w:val="16"/>
              </w:rPr>
              <w:t>noda-reserv.bnb</w:t>
            </w:r>
          </w:p>
        </w:tc>
      </w:tr>
      <w:tr>
        <w:tc>
          <w:tcPr>
            <w:tcW w:type="dxa" w:w="2556"/>
            <w:vAlign w:val="center"/>
            <w:tcMar>
              <w:top w:w="80" w:type="dxa"/>
              <w:start w:w="100" w:type="dxa"/>
              <w:bottom w:w="80" w:type="dxa"/>
              <w:end w:w="100" w:type="dxa"/>
            </w:tcMar>
          </w:tcPr>
          <w:p>
            <w:pPr>
              <w:spacing w:after="0"/>
            </w:pPr>
            <w:r>
              <w:rPr>
                <w:rFonts w:ascii="Arial" w:hAnsi="Arial"/>
                <w:sz w:val="16"/>
              </w:rPr>
              <w:t>Liquidity</w:t>
            </w:r>
          </w:p>
        </w:tc>
        <w:tc>
          <w:tcPr>
            <w:tcW w:type="dxa" w:w="2556"/>
            <w:vAlign w:val="center"/>
            <w:tcMar>
              <w:top w:w="80" w:type="dxa"/>
              <w:start w:w="100" w:type="dxa"/>
              <w:bottom w:w="80" w:type="dxa"/>
              <w:end w:w="100" w:type="dxa"/>
            </w:tcMar>
          </w:tcPr>
          <w:p>
            <w:pPr>
              <w:spacing w:after="0"/>
            </w:pPr>
            <w:r>
              <w:rPr>
                <w:rFonts w:ascii="Arial" w:hAnsi="Arial"/>
                <w:sz w:val="16"/>
              </w:rPr>
              <w:t>3,000,000,000</w:t>
            </w:r>
          </w:p>
        </w:tc>
        <w:tc>
          <w:tcPr>
            <w:tcW w:type="dxa" w:w="2556"/>
            <w:vAlign w:val="center"/>
            <w:tcMar>
              <w:top w:w="80" w:type="dxa"/>
              <w:start w:w="100" w:type="dxa"/>
              <w:bottom w:w="80" w:type="dxa"/>
              <w:end w:w="100" w:type="dxa"/>
            </w:tcMar>
          </w:tcPr>
          <w:p>
            <w:pPr>
              <w:spacing w:after="0"/>
            </w:pPr>
            <w:r>
              <w:rPr>
                <w:rFonts w:ascii="Arial" w:hAnsi="Arial"/>
                <w:sz w:val="16"/>
              </w:rPr>
              <w:t>14.2857%</w:t>
            </w:r>
          </w:p>
        </w:tc>
        <w:tc>
          <w:tcPr>
            <w:tcW w:type="dxa" w:w="2556"/>
            <w:vAlign w:val="center"/>
            <w:tcMar>
              <w:top w:w="80" w:type="dxa"/>
              <w:start w:w="100" w:type="dxa"/>
              <w:bottom w:w="80" w:type="dxa"/>
              <w:end w:w="100" w:type="dxa"/>
            </w:tcMar>
          </w:tcPr>
          <w:p>
            <w:pPr>
              <w:spacing w:after="0"/>
            </w:pPr>
            <w:r>
              <w:rPr>
                <w:rFonts w:ascii="Arial" w:hAnsi="Arial"/>
                <w:sz w:val="16"/>
              </w:rPr>
              <w:t>noda-liquidity.bnb</w:t>
            </w:r>
          </w:p>
        </w:tc>
      </w:tr>
      <w:tr>
        <w:tc>
          <w:tcPr>
            <w:tcW w:type="dxa" w:w="2556"/>
            <w:vAlign w:val="center"/>
            <w:tcMar>
              <w:top w:w="80" w:type="dxa"/>
              <w:start w:w="100" w:type="dxa"/>
              <w:bottom w:w="80" w:type="dxa"/>
              <w:end w:w="100" w:type="dxa"/>
            </w:tcMar>
          </w:tcPr>
          <w:p>
            <w:pPr>
              <w:spacing w:after="0"/>
            </w:pPr>
            <w:r>
              <w:rPr>
                <w:rFonts w:ascii="Arial" w:hAnsi="Arial"/>
                <w:sz w:val="16"/>
              </w:rPr>
              <w:t>Ecosystem</w:t>
            </w:r>
          </w:p>
        </w:tc>
        <w:tc>
          <w:tcPr>
            <w:tcW w:type="dxa" w:w="2556"/>
            <w:vAlign w:val="center"/>
            <w:tcMar>
              <w:top w:w="80" w:type="dxa"/>
              <w:start w:w="100" w:type="dxa"/>
              <w:bottom w:w="80" w:type="dxa"/>
              <w:end w:w="100" w:type="dxa"/>
            </w:tcMar>
          </w:tcPr>
          <w:p>
            <w:pPr>
              <w:spacing w:after="0"/>
            </w:pPr>
            <w:r>
              <w:rPr>
                <w:rFonts w:ascii="Arial" w:hAnsi="Arial"/>
                <w:sz w:val="16"/>
              </w:rPr>
              <w:t>1,500,000,000</w:t>
            </w:r>
          </w:p>
        </w:tc>
        <w:tc>
          <w:tcPr>
            <w:tcW w:type="dxa" w:w="2556"/>
            <w:vAlign w:val="center"/>
            <w:tcMar>
              <w:top w:w="80" w:type="dxa"/>
              <w:start w:w="100" w:type="dxa"/>
              <w:bottom w:w="80" w:type="dxa"/>
              <w:end w:w="100" w:type="dxa"/>
            </w:tcMar>
          </w:tcPr>
          <w:p>
            <w:pPr>
              <w:spacing w:after="0"/>
            </w:pPr>
            <w:r>
              <w:rPr>
                <w:rFonts w:ascii="Arial" w:hAnsi="Arial"/>
                <w:sz w:val="16"/>
              </w:rPr>
              <w:t>7.1429%</w:t>
            </w:r>
          </w:p>
        </w:tc>
        <w:tc>
          <w:tcPr>
            <w:tcW w:type="dxa" w:w="2556"/>
            <w:vAlign w:val="center"/>
            <w:tcMar>
              <w:top w:w="80" w:type="dxa"/>
              <w:start w:w="100" w:type="dxa"/>
              <w:bottom w:w="80" w:type="dxa"/>
              <w:end w:w="100" w:type="dxa"/>
            </w:tcMar>
          </w:tcPr>
          <w:p>
            <w:pPr>
              <w:spacing w:after="0"/>
            </w:pPr>
            <w:r>
              <w:rPr>
                <w:rFonts w:ascii="Arial" w:hAnsi="Arial"/>
                <w:sz w:val="16"/>
              </w:rPr>
              <w:t>noda-ecosystem.bnb</w:t>
            </w:r>
          </w:p>
        </w:tc>
      </w:tr>
      <w:tr>
        <w:tc>
          <w:tcPr>
            <w:tcW w:type="dxa" w:w="2556"/>
            <w:vAlign w:val="center"/>
            <w:tcMar>
              <w:top w:w="80" w:type="dxa"/>
              <w:start w:w="100" w:type="dxa"/>
              <w:bottom w:w="80" w:type="dxa"/>
              <w:end w:w="100" w:type="dxa"/>
            </w:tcMar>
          </w:tcPr>
          <w:p>
            <w:pPr>
              <w:spacing w:after="0"/>
            </w:pPr>
            <w:r>
              <w:rPr>
                <w:rFonts w:ascii="Arial" w:hAnsi="Arial"/>
                <w:sz w:val="16"/>
              </w:rPr>
              <w:t>Team</w:t>
            </w:r>
          </w:p>
        </w:tc>
        <w:tc>
          <w:tcPr>
            <w:tcW w:type="dxa" w:w="2556"/>
            <w:vAlign w:val="center"/>
            <w:tcMar>
              <w:top w:w="80" w:type="dxa"/>
              <w:start w:w="100" w:type="dxa"/>
              <w:bottom w:w="80" w:type="dxa"/>
              <w:end w:w="100" w:type="dxa"/>
            </w:tcMar>
          </w:tcPr>
          <w:p>
            <w:pPr>
              <w:spacing w:after="0"/>
            </w:pPr>
            <w:r>
              <w:rPr>
                <w:rFonts w:ascii="Arial" w:hAnsi="Arial"/>
                <w:sz w:val="16"/>
              </w:rPr>
              <w:t>999,999,011.5577</w:t>
            </w:r>
          </w:p>
        </w:tc>
        <w:tc>
          <w:tcPr>
            <w:tcW w:type="dxa" w:w="2556"/>
            <w:vAlign w:val="center"/>
            <w:tcMar>
              <w:top w:w="80" w:type="dxa"/>
              <w:start w:w="100" w:type="dxa"/>
              <w:bottom w:w="80" w:type="dxa"/>
              <w:end w:w="100" w:type="dxa"/>
            </w:tcMar>
          </w:tcPr>
          <w:p>
            <w:pPr>
              <w:spacing w:after="0"/>
            </w:pPr>
            <w:r>
              <w:rPr>
                <w:rFonts w:ascii="Arial" w:hAnsi="Arial"/>
                <w:sz w:val="16"/>
              </w:rPr>
              <w:t>4.7619%</w:t>
            </w:r>
          </w:p>
        </w:tc>
        <w:tc>
          <w:tcPr>
            <w:tcW w:type="dxa" w:w="2556"/>
            <w:vAlign w:val="center"/>
            <w:tcMar>
              <w:top w:w="80" w:type="dxa"/>
              <w:start w:w="100" w:type="dxa"/>
              <w:bottom w:w="80" w:type="dxa"/>
              <w:end w:w="100" w:type="dxa"/>
            </w:tcMar>
          </w:tcPr>
          <w:p>
            <w:pPr>
              <w:spacing w:after="0"/>
            </w:pPr>
            <w:r>
              <w:rPr>
                <w:rFonts w:ascii="Arial" w:hAnsi="Arial"/>
                <w:sz w:val="16"/>
              </w:rPr>
              <w:t>noda-team.bnb</w:t>
            </w:r>
          </w:p>
        </w:tc>
      </w:tr>
      <w:tr>
        <w:tc>
          <w:tcPr>
            <w:tcW w:type="dxa" w:w="2556"/>
            <w:vAlign w:val="center"/>
            <w:tcMar>
              <w:top w:w="80" w:type="dxa"/>
              <w:start w:w="100" w:type="dxa"/>
              <w:bottom w:w="80" w:type="dxa"/>
              <w:end w:w="100" w:type="dxa"/>
            </w:tcMar>
          </w:tcPr>
          <w:p>
            <w:pPr>
              <w:spacing w:after="0"/>
            </w:pPr>
            <w:r>
              <w:rPr>
                <w:rFonts w:ascii="Arial" w:hAnsi="Arial"/>
                <w:sz w:val="16"/>
              </w:rPr>
              <w:t>Strategic / Operational Reserve</w:t>
            </w:r>
          </w:p>
        </w:tc>
        <w:tc>
          <w:tcPr>
            <w:tcW w:type="dxa" w:w="2556"/>
            <w:vAlign w:val="center"/>
            <w:tcMar>
              <w:top w:w="80" w:type="dxa"/>
              <w:start w:w="100" w:type="dxa"/>
              <w:bottom w:w="80" w:type="dxa"/>
              <w:end w:w="100" w:type="dxa"/>
            </w:tcMar>
          </w:tcPr>
          <w:p>
            <w:pPr>
              <w:spacing w:after="0"/>
            </w:pPr>
            <w:r>
              <w:rPr>
                <w:rFonts w:ascii="Arial" w:hAnsi="Arial"/>
                <w:sz w:val="16"/>
              </w:rPr>
              <w:t>499,998,978.9017</w:t>
            </w:r>
          </w:p>
        </w:tc>
        <w:tc>
          <w:tcPr>
            <w:tcW w:type="dxa" w:w="2556"/>
            <w:vAlign w:val="center"/>
            <w:tcMar>
              <w:top w:w="80" w:type="dxa"/>
              <w:start w:w="100" w:type="dxa"/>
              <w:bottom w:w="80" w:type="dxa"/>
              <w:end w:w="100" w:type="dxa"/>
            </w:tcMar>
          </w:tcPr>
          <w:p>
            <w:pPr>
              <w:spacing w:after="0"/>
            </w:pPr>
            <w:r>
              <w:rPr>
                <w:rFonts w:ascii="Arial" w:hAnsi="Arial"/>
                <w:sz w:val="16"/>
              </w:rPr>
              <w:t>2.3809%</w:t>
            </w:r>
          </w:p>
        </w:tc>
        <w:tc>
          <w:tcPr>
            <w:tcW w:type="dxa" w:w="2556"/>
            <w:vAlign w:val="center"/>
            <w:tcMar>
              <w:top w:w="80" w:type="dxa"/>
              <w:start w:w="100" w:type="dxa"/>
              <w:bottom w:w="80" w:type="dxa"/>
              <w:end w:w="100" w:type="dxa"/>
            </w:tcMar>
          </w:tcPr>
          <w:p>
            <w:pPr>
              <w:spacing w:after="0"/>
            </w:pPr>
            <w:r>
              <w:rPr>
                <w:rFonts w:ascii="Arial" w:hAnsi="Arial"/>
                <w:sz w:val="16"/>
              </w:rPr>
              <w:t>noda-treasury1.bnb</w:t>
            </w:r>
          </w:p>
        </w:tc>
      </w:tr>
    </w:tbl>
    <w:p>
      <w:r>
        <w:t>As of the baseline date, almost the entire supply is held across dedicated project addresses. This allocation describes the intended use of issued tokens and does not mean that the entire supply is freely circulating on the market.</w:t>
      </w:r>
    </w:p>
    <w:p>
      <w:pPr>
        <w:pStyle w:val="Heading1"/>
      </w:pPr>
      <w:r>
        <w:t>3. Project Wallet Registry</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E9EEF5"/>
            <w:vAlign w:val="center"/>
            <w:tcMar>
              <w:top w:w="80" w:type="dxa"/>
              <w:start w:w="100" w:type="dxa"/>
              <w:bottom w:w="80" w:type="dxa"/>
              <w:end w:w="100" w:type="dxa"/>
            </w:tcMar>
          </w:tcPr>
          <w:p>
            <w:r>
              <w:rPr>
                <w:b/>
                <w:sz w:val="17"/>
              </w:rPr>
              <w:t>Role</w:t>
            </w:r>
          </w:p>
        </w:tc>
        <w:tc>
          <w:tcPr>
            <w:tcW w:type="dxa" w:w="3408"/>
            <w:shd w:fill="E9EEF5"/>
            <w:vAlign w:val="center"/>
            <w:tcMar>
              <w:top w:w="80" w:type="dxa"/>
              <w:start w:w="100" w:type="dxa"/>
              <w:bottom w:w="80" w:type="dxa"/>
              <w:end w:w="100" w:type="dxa"/>
            </w:tcMar>
          </w:tcPr>
          <w:p>
            <w:r>
              <w:rPr>
                <w:b/>
                <w:sz w:val="17"/>
              </w:rPr>
              <w:t>Address</w:t>
            </w:r>
          </w:p>
        </w:tc>
        <w:tc>
          <w:tcPr>
            <w:tcW w:type="dxa" w:w="3408"/>
            <w:shd w:fill="E9EEF5"/>
            <w:vAlign w:val="center"/>
            <w:tcMar>
              <w:top w:w="80" w:type="dxa"/>
              <w:start w:w="100" w:type="dxa"/>
              <w:bottom w:w="80" w:type="dxa"/>
              <w:end w:w="100" w:type="dxa"/>
            </w:tcMar>
          </w:tcPr>
          <w:p>
            <w:r>
              <w:rPr>
                <w:b/>
                <w:sz w:val="17"/>
              </w:rPr>
              <w:t>Space ID</w:t>
            </w:r>
          </w:p>
        </w:tc>
      </w:tr>
      <w:tr>
        <w:tc>
          <w:tcPr>
            <w:tcW w:type="dxa" w:w="3408"/>
            <w:vAlign w:val="center"/>
            <w:tcMar>
              <w:top w:w="80" w:type="dxa"/>
              <w:start w:w="100" w:type="dxa"/>
              <w:bottom w:w="80" w:type="dxa"/>
              <w:end w:w="100" w:type="dxa"/>
            </w:tcMar>
          </w:tcPr>
          <w:p>
            <w:pPr>
              <w:spacing w:after="0"/>
            </w:pPr>
            <w:r>
              <w:rPr>
                <w:rFonts w:ascii="Arial" w:hAnsi="Arial"/>
                <w:sz w:val="16"/>
              </w:rPr>
              <w:t>Treasury</w:t>
            </w:r>
          </w:p>
        </w:tc>
        <w:tc>
          <w:tcPr>
            <w:tcW w:type="dxa" w:w="3408"/>
            <w:vAlign w:val="center"/>
            <w:tcMar>
              <w:top w:w="80" w:type="dxa"/>
              <w:start w:w="100" w:type="dxa"/>
              <w:bottom w:w="80" w:type="dxa"/>
              <w:end w:w="100" w:type="dxa"/>
            </w:tcMar>
          </w:tcPr>
          <w:p>
            <w:pPr>
              <w:spacing w:after="0"/>
            </w:pPr>
            <w:r>
              <w:rPr>
                <w:rFonts w:ascii="Arial" w:hAnsi="Arial"/>
                <w:sz w:val="16"/>
              </w:rPr>
              <w:t>0x3DaeE1CC81497F060AE41f3460C03fD493279180</w:t>
            </w:r>
          </w:p>
        </w:tc>
        <w:tc>
          <w:tcPr>
            <w:tcW w:type="dxa" w:w="3408"/>
            <w:vAlign w:val="center"/>
            <w:tcMar>
              <w:top w:w="80" w:type="dxa"/>
              <w:start w:w="100" w:type="dxa"/>
              <w:bottom w:w="80" w:type="dxa"/>
              <w:end w:w="100" w:type="dxa"/>
            </w:tcMar>
          </w:tcPr>
          <w:p>
            <w:pPr>
              <w:spacing w:after="0"/>
            </w:pPr>
            <w:r>
              <w:rPr>
                <w:rFonts w:ascii="Arial" w:hAnsi="Arial"/>
                <w:sz w:val="16"/>
              </w:rPr>
              <w:t>nodatreasury.bnb</w:t>
            </w:r>
          </w:p>
        </w:tc>
      </w:tr>
      <w:tr>
        <w:tc>
          <w:tcPr>
            <w:tcW w:type="dxa" w:w="3408"/>
            <w:vAlign w:val="center"/>
            <w:tcMar>
              <w:top w:w="80" w:type="dxa"/>
              <w:start w:w="100" w:type="dxa"/>
              <w:bottom w:w="80" w:type="dxa"/>
              <w:end w:w="100" w:type="dxa"/>
            </w:tcMar>
          </w:tcPr>
          <w:p>
            <w:pPr>
              <w:spacing w:after="0"/>
            </w:pPr>
            <w:r>
              <w:rPr>
                <w:rFonts w:ascii="Arial" w:hAnsi="Arial"/>
                <w:sz w:val="16"/>
              </w:rPr>
              <w:t>Reserve</w:t>
            </w:r>
          </w:p>
        </w:tc>
        <w:tc>
          <w:tcPr>
            <w:tcW w:type="dxa" w:w="3408"/>
            <w:vAlign w:val="center"/>
            <w:tcMar>
              <w:top w:w="80" w:type="dxa"/>
              <w:start w:w="100" w:type="dxa"/>
              <w:bottom w:w="80" w:type="dxa"/>
              <w:end w:w="100" w:type="dxa"/>
            </w:tcMar>
          </w:tcPr>
          <w:p>
            <w:pPr>
              <w:spacing w:after="0"/>
            </w:pPr>
            <w:r>
              <w:rPr>
                <w:rFonts w:ascii="Arial" w:hAnsi="Arial"/>
                <w:sz w:val="16"/>
              </w:rPr>
              <w:t>0xE16aEdc8376c5A00E62AdaA1555A3AFd6308bA61</w:t>
            </w:r>
          </w:p>
        </w:tc>
        <w:tc>
          <w:tcPr>
            <w:tcW w:type="dxa" w:w="3408"/>
            <w:vAlign w:val="center"/>
            <w:tcMar>
              <w:top w:w="80" w:type="dxa"/>
              <w:start w:w="100" w:type="dxa"/>
              <w:bottom w:w="80" w:type="dxa"/>
              <w:end w:w="100" w:type="dxa"/>
            </w:tcMar>
          </w:tcPr>
          <w:p>
            <w:pPr>
              <w:spacing w:after="0"/>
            </w:pPr>
            <w:r>
              <w:rPr>
                <w:rFonts w:ascii="Arial" w:hAnsi="Arial"/>
                <w:sz w:val="16"/>
              </w:rPr>
              <w:t>noda-reserv.bnb</w:t>
            </w:r>
          </w:p>
        </w:tc>
      </w:tr>
      <w:tr>
        <w:tc>
          <w:tcPr>
            <w:tcW w:type="dxa" w:w="3408"/>
            <w:vAlign w:val="center"/>
            <w:tcMar>
              <w:top w:w="80" w:type="dxa"/>
              <w:start w:w="100" w:type="dxa"/>
              <w:bottom w:w="80" w:type="dxa"/>
              <w:end w:w="100" w:type="dxa"/>
            </w:tcMar>
          </w:tcPr>
          <w:p>
            <w:pPr>
              <w:spacing w:after="0"/>
            </w:pPr>
            <w:r>
              <w:rPr>
                <w:rFonts w:ascii="Arial" w:hAnsi="Arial"/>
                <w:sz w:val="16"/>
              </w:rPr>
              <w:t>Liquidity</w:t>
            </w:r>
          </w:p>
        </w:tc>
        <w:tc>
          <w:tcPr>
            <w:tcW w:type="dxa" w:w="3408"/>
            <w:vAlign w:val="center"/>
            <w:tcMar>
              <w:top w:w="80" w:type="dxa"/>
              <w:start w:w="100" w:type="dxa"/>
              <w:bottom w:w="80" w:type="dxa"/>
              <w:end w:w="100" w:type="dxa"/>
            </w:tcMar>
          </w:tcPr>
          <w:p>
            <w:pPr>
              <w:spacing w:after="0"/>
            </w:pPr>
            <w:r>
              <w:rPr>
                <w:rFonts w:ascii="Arial" w:hAnsi="Arial"/>
                <w:sz w:val="16"/>
              </w:rPr>
              <w:t>0xe6dEbc238e255E68eE7f49d59F8B49E1e37E0465</w:t>
            </w:r>
          </w:p>
        </w:tc>
        <w:tc>
          <w:tcPr>
            <w:tcW w:type="dxa" w:w="3408"/>
            <w:vAlign w:val="center"/>
            <w:tcMar>
              <w:top w:w="80" w:type="dxa"/>
              <w:start w:w="100" w:type="dxa"/>
              <w:bottom w:w="80" w:type="dxa"/>
              <w:end w:w="100" w:type="dxa"/>
            </w:tcMar>
          </w:tcPr>
          <w:p>
            <w:pPr>
              <w:spacing w:after="0"/>
            </w:pPr>
            <w:r>
              <w:rPr>
                <w:rFonts w:ascii="Arial" w:hAnsi="Arial"/>
                <w:sz w:val="16"/>
              </w:rPr>
              <w:t>noda-liquidity.bnb</w:t>
            </w:r>
          </w:p>
        </w:tc>
      </w:tr>
      <w:tr>
        <w:tc>
          <w:tcPr>
            <w:tcW w:type="dxa" w:w="3408"/>
            <w:vAlign w:val="center"/>
            <w:tcMar>
              <w:top w:w="80" w:type="dxa"/>
              <w:start w:w="100" w:type="dxa"/>
              <w:bottom w:w="80" w:type="dxa"/>
              <w:end w:w="100" w:type="dxa"/>
            </w:tcMar>
          </w:tcPr>
          <w:p>
            <w:pPr>
              <w:spacing w:after="0"/>
            </w:pPr>
            <w:r>
              <w:rPr>
                <w:rFonts w:ascii="Arial" w:hAnsi="Arial"/>
                <w:sz w:val="16"/>
              </w:rPr>
              <w:t>Ecosystem</w:t>
            </w:r>
          </w:p>
        </w:tc>
        <w:tc>
          <w:tcPr>
            <w:tcW w:type="dxa" w:w="3408"/>
            <w:vAlign w:val="center"/>
            <w:tcMar>
              <w:top w:w="80" w:type="dxa"/>
              <w:start w:w="100" w:type="dxa"/>
              <w:bottom w:w="80" w:type="dxa"/>
              <w:end w:w="100" w:type="dxa"/>
            </w:tcMar>
          </w:tcPr>
          <w:p>
            <w:pPr>
              <w:spacing w:after="0"/>
            </w:pPr>
            <w:r>
              <w:rPr>
                <w:rFonts w:ascii="Arial" w:hAnsi="Arial"/>
                <w:sz w:val="16"/>
              </w:rPr>
              <w:t>0xc4479E47d85c5E8d396ad2f66749151D400804cb</w:t>
            </w:r>
          </w:p>
        </w:tc>
        <w:tc>
          <w:tcPr>
            <w:tcW w:type="dxa" w:w="3408"/>
            <w:vAlign w:val="center"/>
            <w:tcMar>
              <w:top w:w="80" w:type="dxa"/>
              <w:start w:w="100" w:type="dxa"/>
              <w:bottom w:w="80" w:type="dxa"/>
              <w:end w:w="100" w:type="dxa"/>
            </w:tcMar>
          </w:tcPr>
          <w:p>
            <w:pPr>
              <w:spacing w:after="0"/>
            </w:pPr>
            <w:r>
              <w:rPr>
                <w:rFonts w:ascii="Arial" w:hAnsi="Arial"/>
                <w:sz w:val="16"/>
              </w:rPr>
              <w:t>noda-ecosystem.bnb</w:t>
            </w:r>
          </w:p>
        </w:tc>
      </w:tr>
      <w:tr>
        <w:tc>
          <w:tcPr>
            <w:tcW w:type="dxa" w:w="3408"/>
            <w:vAlign w:val="center"/>
            <w:tcMar>
              <w:top w:w="80" w:type="dxa"/>
              <w:start w:w="100" w:type="dxa"/>
              <w:bottom w:w="80" w:type="dxa"/>
              <w:end w:w="100" w:type="dxa"/>
            </w:tcMar>
          </w:tcPr>
          <w:p>
            <w:pPr>
              <w:spacing w:after="0"/>
            </w:pPr>
            <w:r>
              <w:rPr>
                <w:rFonts w:ascii="Arial" w:hAnsi="Arial"/>
                <w:sz w:val="16"/>
              </w:rPr>
              <w:t>Team</w:t>
            </w:r>
          </w:p>
        </w:tc>
        <w:tc>
          <w:tcPr>
            <w:tcW w:type="dxa" w:w="3408"/>
            <w:vAlign w:val="center"/>
            <w:tcMar>
              <w:top w:w="80" w:type="dxa"/>
              <w:start w:w="100" w:type="dxa"/>
              <w:bottom w:w="80" w:type="dxa"/>
              <w:end w:w="100" w:type="dxa"/>
            </w:tcMar>
          </w:tcPr>
          <w:p>
            <w:pPr>
              <w:spacing w:after="0"/>
            </w:pPr>
            <w:r>
              <w:rPr>
                <w:rFonts w:ascii="Arial" w:hAnsi="Arial"/>
                <w:sz w:val="16"/>
              </w:rPr>
              <w:t>0x34cF0E4768b09d42cF0045F974c0240f5C11d50</w:t>
            </w:r>
          </w:p>
        </w:tc>
        <w:tc>
          <w:tcPr>
            <w:tcW w:type="dxa" w:w="3408"/>
            <w:vAlign w:val="center"/>
            <w:tcMar>
              <w:top w:w="80" w:type="dxa"/>
              <w:start w:w="100" w:type="dxa"/>
              <w:bottom w:w="80" w:type="dxa"/>
              <w:end w:w="100" w:type="dxa"/>
            </w:tcMar>
          </w:tcPr>
          <w:p>
            <w:pPr>
              <w:spacing w:after="0"/>
            </w:pPr>
            <w:r>
              <w:rPr>
                <w:rFonts w:ascii="Arial" w:hAnsi="Arial"/>
                <w:sz w:val="16"/>
              </w:rPr>
              <w:t>noda-team.bnb</w:t>
            </w:r>
          </w:p>
        </w:tc>
      </w:tr>
      <w:tr>
        <w:tc>
          <w:tcPr>
            <w:tcW w:type="dxa" w:w="3408"/>
            <w:vAlign w:val="center"/>
            <w:tcMar>
              <w:top w:w="80" w:type="dxa"/>
              <w:start w:w="100" w:type="dxa"/>
              <w:bottom w:w="80" w:type="dxa"/>
              <w:end w:w="100" w:type="dxa"/>
            </w:tcMar>
          </w:tcPr>
          <w:p>
            <w:pPr>
              <w:spacing w:after="0"/>
            </w:pPr>
            <w:r>
              <w:rPr>
                <w:rFonts w:ascii="Arial" w:hAnsi="Arial"/>
                <w:sz w:val="16"/>
              </w:rPr>
              <w:t>Strategic / Operational Reserve</w:t>
            </w:r>
          </w:p>
        </w:tc>
        <w:tc>
          <w:tcPr>
            <w:tcW w:type="dxa" w:w="3408"/>
            <w:vAlign w:val="center"/>
            <w:tcMar>
              <w:top w:w="80" w:type="dxa"/>
              <w:start w:w="100" w:type="dxa"/>
              <w:bottom w:w="80" w:type="dxa"/>
              <w:end w:w="100" w:type="dxa"/>
            </w:tcMar>
          </w:tcPr>
          <w:p>
            <w:pPr>
              <w:spacing w:after="0"/>
            </w:pPr>
            <w:r>
              <w:rPr>
                <w:rFonts w:ascii="Arial" w:hAnsi="Arial"/>
                <w:sz w:val="16"/>
              </w:rPr>
              <w:t>0x95f074CFB5d9032Cf1AD3C5A7394C2D54e41D133</w:t>
            </w:r>
          </w:p>
        </w:tc>
        <w:tc>
          <w:tcPr>
            <w:tcW w:type="dxa" w:w="3408"/>
            <w:vAlign w:val="center"/>
            <w:tcMar>
              <w:top w:w="80" w:type="dxa"/>
              <w:start w:w="100" w:type="dxa"/>
              <w:bottom w:w="80" w:type="dxa"/>
              <w:end w:w="100" w:type="dxa"/>
            </w:tcMar>
          </w:tcPr>
          <w:p>
            <w:pPr>
              <w:spacing w:after="0"/>
            </w:pPr>
            <w:r>
              <w:rPr>
                <w:rFonts w:ascii="Arial" w:hAnsi="Arial"/>
                <w:sz w:val="16"/>
              </w:rPr>
              <w:t>noda-treasury1.bnb</w:t>
            </w:r>
          </w:p>
        </w:tc>
      </w:tr>
    </w:tbl>
    <w:p>
      <w:r>
        <w:br w:type="page"/>
      </w:r>
    </w:p>
    <w:p>
      <w:pPr>
        <w:pStyle w:val="Heading1"/>
      </w:pPr>
      <w:r>
        <w:t>4. Approved Allocation Policy</w:t>
      </w:r>
    </w:p>
    <w:p>
      <w:pPr>
        <w:pStyle w:val="Heading2"/>
      </w:pPr>
      <w:r>
        <w:t>4.1 Treasury — 8 Billion NODA</w:t>
      </w:r>
    </w:p>
    <w:p>
      <w:r>
        <w:t>The Treasury supports the long-term development of NODA, including infrastructure, technical development, legal and compliance work, marketing, integrations, strategic partnerships and other project-related expenses.</w:t>
      </w:r>
    </w:p>
    <w:p>
      <w:pPr>
        <w:pStyle w:val="ListBullet"/>
        <w:spacing w:after="40"/>
      </w:pPr>
      <w:r>
        <w:t>Transactions above 100 million NODA should be accompanied by an internal or public explanation of purpose.</w:t>
      </w:r>
    </w:p>
    <w:p>
      <w:pPr>
        <w:pStyle w:val="ListBullet"/>
        <w:spacing w:after="40"/>
      </w:pPr>
      <w:r>
        <w:t>Transactions of 210 million NODA or more (1% of total supply) are classified as material and monitored by NODA Control.</w:t>
      </w:r>
    </w:p>
    <w:p>
      <w:pPr>
        <w:pStyle w:val="Heading2"/>
      </w:pPr>
      <w:r>
        <w:t>4.2 Reserve — 7 Billion NODA</w:t>
      </w:r>
    </w:p>
    <w:p>
      <w:r>
        <w:t>The Reserve is a long-term strategic reserve and is not intended for ordinary recurring operating expenses.</w:t>
      </w:r>
    </w:p>
    <w:p>
      <w:pPr>
        <w:pStyle w:val="ListBullet"/>
        <w:spacing w:after="40"/>
      </w:pPr>
      <w:r>
        <w:t>Permitted uses include major partnerships, infrastructure expansion, additional liquidity, ecosystem protection and other exceptional project needs.</w:t>
      </w:r>
    </w:p>
    <w:p>
      <w:pPr>
        <w:pStyle w:val="ListBullet"/>
        <w:spacing w:after="40"/>
      </w:pPr>
      <w:r>
        <w:t>A movement of 210 million NODA or more is treated as a material reserve event and should be accompanied by an explanation of its purpose.</w:t>
      </w:r>
    </w:p>
    <w:p>
      <w:pPr>
        <w:pStyle w:val="Heading2"/>
      </w:pPr>
      <w:r>
        <w:t>4.3 Liquidity — 3 Billion NODA</w:t>
      </w:r>
    </w:p>
    <w:p>
      <w:r>
        <w:t>The 3 billion NODA allocation is the maximum strategic reserve available for market-liquidity development. It does not imply that the full amount will be deposited into DEX liquidity at once.</w:t>
      </w:r>
    </w:p>
    <w:p>
      <w:pPr>
        <w:pStyle w:val="ListBullet"/>
        <w:spacing w:after="40"/>
      </w:pPr>
      <w:r>
        <w:t>Liquidity is deployed gradually according to demand, trading activity and market depth.</w:t>
      </w:r>
    </w:p>
    <w:p>
      <w:pPr>
        <w:pStyle w:val="ListBullet"/>
        <w:spacing w:after="40"/>
      </w:pPr>
      <w:r>
        <w:t>The initial primary trading pair is NODA/USDT on PancakeSwap V3.</w:t>
      </w:r>
    </w:p>
    <w:p>
      <w:pPr>
        <w:pStyle w:val="ListBullet"/>
        <w:spacing w:after="40"/>
      </w:pPr>
      <w:r>
        <w:t>Major liquidity withdrawals and material LP parameter changes are monitored and, when appropriate, publicly disclosed.</w:t>
      </w:r>
    </w:p>
    <w:p>
      <w:pPr>
        <w:pStyle w:val="Heading2"/>
      </w:pPr>
      <w:r>
        <w:t>4.4 Ecosystem — 1.5 Billion NODA</w:t>
      </w:r>
    </w:p>
    <w:p>
      <w:r>
        <w:t>The Ecosystem allocation is intended for integrations, incentives, partnerships, grants, community programs, airdrops and other initiatives that support ecosystem development.</w:t>
      </w:r>
    </w:p>
    <w:p>
      <w:pPr>
        <w:pStyle w:val="ListBullet"/>
        <w:spacing w:after="40"/>
      </w:pPr>
      <w:r>
        <w:t>A single program should not use more than 5% of the Ecosystem allocation — 75 million NODA — without a separate project decision or public announcement.</w:t>
      </w:r>
    </w:p>
    <w:p>
      <w:r>
        <w:br w:type="page"/>
      </w:r>
    </w:p>
    <w:p>
      <w:pPr>
        <w:pStyle w:val="Heading2"/>
      </w:pPr>
      <w:r>
        <w:t>4.5 Team — Approximately 1 Billion NODA</w:t>
      </w:r>
    </w:p>
    <w:p>
      <w:r>
        <w:t>The Team allocation is intended to align the long-term interests of the project team with NODA development. The approved model is a 12-month full lock-up followed by 24 months of linear vesting.</w:t>
      </w:r>
    </w:p>
    <w:tbl>
      <w:tblPr>
        <w:tblStyle w:val="TableGrid"/>
        <w:tblW w:type="auto" w:w="0"/>
        <w:jc w:val="center"/>
        <w:tblLook w:firstColumn="1" w:firstRow="1" w:lastColumn="0" w:lastRow="0" w:noHBand="0" w:noVBand="1" w:val="04A0"/>
      </w:tblPr>
      <w:tblGrid>
        <w:gridCol w:w="5112"/>
        <w:gridCol w:w="5112"/>
      </w:tblGrid>
      <w:tr>
        <w:tc>
          <w:tcPr>
            <w:tcW w:type="dxa" w:w="5112"/>
            <w:shd w:fill="E9EEF5"/>
            <w:vAlign w:val="center"/>
            <w:tcMar>
              <w:top w:w="80" w:type="dxa"/>
              <w:start w:w="100" w:type="dxa"/>
              <w:bottom w:w="80" w:type="dxa"/>
              <w:end w:w="100" w:type="dxa"/>
            </w:tcMar>
          </w:tcPr>
          <w:p>
            <w:r>
              <w:rPr>
                <w:b/>
                <w:sz w:val="17"/>
              </w:rPr>
              <w:t>Period</w:t>
            </w:r>
          </w:p>
        </w:tc>
        <w:tc>
          <w:tcPr>
            <w:tcW w:type="dxa" w:w="5112"/>
            <w:shd w:fill="E9EEF5"/>
            <w:vAlign w:val="center"/>
            <w:tcMar>
              <w:top w:w="80" w:type="dxa"/>
              <w:start w:w="100" w:type="dxa"/>
              <w:bottom w:w="80" w:type="dxa"/>
              <w:end w:w="100" w:type="dxa"/>
            </w:tcMar>
          </w:tcPr>
          <w:p>
            <w:r>
              <w:rPr>
                <w:b/>
                <w:sz w:val="17"/>
              </w:rPr>
              <w:t>Rule</w:t>
            </w:r>
          </w:p>
        </w:tc>
      </w:tr>
      <w:tr>
        <w:tc>
          <w:tcPr>
            <w:tcW w:type="dxa" w:w="5112"/>
            <w:vAlign w:val="center"/>
            <w:tcMar>
              <w:top w:w="80" w:type="dxa"/>
              <w:start w:w="100" w:type="dxa"/>
              <w:bottom w:w="80" w:type="dxa"/>
              <w:end w:w="100" w:type="dxa"/>
            </w:tcMar>
          </w:tcPr>
          <w:p>
            <w:pPr>
              <w:spacing w:after="0"/>
            </w:pPr>
            <w:r>
              <w:rPr>
                <w:rFonts w:ascii="Arial" w:hAnsi="Arial"/>
                <w:sz w:val="16"/>
              </w:rPr>
              <w:t>First 12 months</w:t>
            </w:r>
          </w:p>
        </w:tc>
        <w:tc>
          <w:tcPr>
            <w:tcW w:type="dxa" w:w="5112"/>
            <w:vAlign w:val="center"/>
            <w:tcMar>
              <w:top w:w="80" w:type="dxa"/>
              <w:start w:w="100" w:type="dxa"/>
              <w:bottom w:w="80" w:type="dxa"/>
              <w:end w:w="100" w:type="dxa"/>
            </w:tcMar>
          </w:tcPr>
          <w:p>
            <w:pPr>
              <w:spacing w:after="0"/>
            </w:pPr>
            <w:r>
              <w:rPr>
                <w:rFonts w:ascii="Arial" w:hAnsi="Arial"/>
                <w:sz w:val="16"/>
              </w:rPr>
              <w:t>0% of the Team allocation is scheduled for release</w:t>
            </w:r>
          </w:p>
        </w:tc>
      </w:tr>
      <w:tr>
        <w:tc>
          <w:tcPr>
            <w:tcW w:type="dxa" w:w="5112"/>
            <w:vAlign w:val="center"/>
            <w:tcMar>
              <w:top w:w="80" w:type="dxa"/>
              <w:start w:w="100" w:type="dxa"/>
              <w:bottom w:w="80" w:type="dxa"/>
              <w:end w:w="100" w:type="dxa"/>
            </w:tcMar>
          </w:tcPr>
          <w:p>
            <w:pPr>
              <w:spacing w:after="0"/>
            </w:pPr>
            <w:r>
              <w:rPr>
                <w:rFonts w:ascii="Arial" w:hAnsi="Arial"/>
                <w:sz w:val="16"/>
              </w:rPr>
              <w:t>Following 24 months</w:t>
            </w:r>
          </w:p>
        </w:tc>
        <w:tc>
          <w:tcPr>
            <w:tcW w:type="dxa" w:w="5112"/>
            <w:vAlign w:val="center"/>
            <w:tcMar>
              <w:top w:w="80" w:type="dxa"/>
              <w:start w:w="100" w:type="dxa"/>
              <w:bottom w:w="80" w:type="dxa"/>
              <w:end w:w="100" w:type="dxa"/>
            </w:tcMar>
          </w:tcPr>
          <w:p>
            <w:pPr>
              <w:spacing w:after="0"/>
            </w:pPr>
            <w:r>
              <w:rPr>
                <w:rFonts w:ascii="Arial" w:hAnsi="Arial"/>
                <w:sz w:val="16"/>
              </w:rPr>
              <w:t>Linear vesting of approximately 1/24 of the Team allocation per month</w:t>
            </w:r>
          </w:p>
        </w:tc>
      </w:tr>
      <w:tr>
        <w:tc>
          <w:tcPr>
            <w:tcW w:type="dxa" w:w="5112"/>
            <w:vAlign w:val="center"/>
            <w:tcMar>
              <w:top w:w="80" w:type="dxa"/>
              <w:start w:w="100" w:type="dxa"/>
              <w:bottom w:w="80" w:type="dxa"/>
              <w:end w:w="100" w:type="dxa"/>
            </w:tcMar>
          </w:tcPr>
          <w:p>
            <w:pPr>
              <w:spacing w:after="0"/>
            </w:pPr>
            <w:r>
              <w:rPr>
                <w:rFonts w:ascii="Arial" w:hAnsi="Arial"/>
                <w:sz w:val="16"/>
              </w:rPr>
              <w:t>Total schedule</w:t>
            </w:r>
          </w:p>
        </w:tc>
        <w:tc>
          <w:tcPr>
            <w:tcW w:type="dxa" w:w="5112"/>
            <w:vAlign w:val="center"/>
            <w:tcMar>
              <w:top w:w="80" w:type="dxa"/>
              <w:start w:w="100" w:type="dxa"/>
              <w:bottom w:w="80" w:type="dxa"/>
              <w:end w:w="100" w:type="dxa"/>
            </w:tcMar>
          </w:tcPr>
          <w:p>
            <w:pPr>
              <w:spacing w:after="0"/>
            </w:pPr>
            <w:r>
              <w:rPr>
                <w:rFonts w:ascii="Arial" w:hAnsi="Arial"/>
                <w:sz w:val="16"/>
              </w:rPr>
              <w:t>36 months from the official NODA launch</w:t>
            </w:r>
          </w:p>
        </w:tc>
      </w:tr>
    </w:tbl>
    <w:p>
      <w:r>
        <w:t>The 12-month lock-up begins on the official NODA launch date. For public verifiability, the start date is the date of the official launch announcement published through the project’s official channels. The same calendar date should be used consistently in Tokenomics, the Whitepaper and the official project announcement.</w:t>
      </w:r>
    </w:p>
    <w:p>
      <w:pPr>
        <w:pStyle w:val="Heading2"/>
      </w:pPr>
      <w:r>
        <w:t>4.6 Strategic / Operational Reserve — Approximately 500 Million NODA</w:t>
      </w:r>
    </w:p>
    <w:p>
      <w:r>
        <w:t>The wallet noda-treasury1.bnb is formally designated as the Strategic / Operational Reserve.</w:t>
      </w:r>
    </w:p>
    <w:p>
      <w:pPr>
        <w:pStyle w:val="ListBullet"/>
        <w:spacing w:after="40"/>
      </w:pPr>
      <w:r>
        <w:t>Purpose: time-sensitive technical tasks, infrastructure testing, listing procedures, integrations, service expenses and limited strategic operations.</w:t>
      </w:r>
    </w:p>
    <w:p>
      <w:pPr>
        <w:pStyle w:val="ListBullet"/>
        <w:spacing w:after="40"/>
      </w:pPr>
      <w:r>
        <w:t>This allocation remains organizationally separate from the main Treasury and the long-term Reserve.</w:t>
      </w:r>
    </w:p>
    <w:p>
      <w:pPr>
        <w:pStyle w:val="Heading1"/>
      </w:pPr>
      <w:r>
        <w:t>5. Circulating Supply Policy</w:t>
      </w:r>
    </w:p>
    <w:p>
      <w:r>
        <w:t>For NODA, total supply and circulating supply are not the same metric. The fact that tokens exist on-chain does not automatically mean that they are freely available to the market.</w:t>
      </w:r>
    </w:p>
    <w:p>
      <w:pPr>
        <w:pStyle w:val="ListBullet"/>
        <w:spacing w:after="40"/>
      </w:pPr>
      <w:r>
        <w:t>Total supply: fixed at 21,000,000,000 NODA.</w:t>
      </w:r>
    </w:p>
    <w:p>
      <w:pPr>
        <w:pStyle w:val="ListBullet"/>
        <w:spacing w:after="40"/>
      </w:pPr>
      <w:r>
        <w:t>Project allocation: tokens held in Treasury, Reserve, Liquidity, Ecosystem, Team and Strategic / Operational Reserve wallets.</w:t>
      </w:r>
    </w:p>
    <w:p>
      <w:pPr>
        <w:pStyle w:val="ListBullet"/>
        <w:spacing w:after="40"/>
      </w:pPr>
      <w:r>
        <w:t>Active DEX liquidity: only the amount actually deposited into live LP positions.</w:t>
      </w:r>
    </w:p>
    <w:p>
      <w:pPr>
        <w:pStyle w:val="ListBullet"/>
        <w:spacing w:after="40"/>
      </w:pPr>
      <w:r>
        <w:t>Circulating supply: tokens that are actually available to the public market and are not subject to active project restrictions.</w:t>
      </w:r>
    </w:p>
    <w:p>
      <w:r>
        <w:t>Until a formal circulating-supply methodology is adopted, the project should not publicly present all 21 billion NODA as freely circulating supply.</w:t>
      </w:r>
    </w:p>
    <w:p>
      <w:r>
        <w:br w:type="page"/>
      </w:r>
    </w:p>
    <w:p>
      <w:pPr>
        <w:pStyle w:val="Heading1"/>
      </w:pPr>
      <w:r>
        <w:t>6. NODA Liquidity</w:t>
      </w:r>
    </w:p>
    <w:tbl>
      <w:tblPr>
        <w:tblStyle w:val="TableGrid"/>
        <w:tblW w:type="auto" w:w="0"/>
        <w:jc w:val="center"/>
        <w:tblLook w:firstColumn="1" w:firstRow="1" w:lastColumn="0" w:lastRow="0" w:noHBand="0" w:noVBand="1" w:val="04A0"/>
      </w:tblPr>
      <w:tblGrid>
        <w:gridCol w:w="5112"/>
        <w:gridCol w:w="5112"/>
      </w:tblGrid>
      <w:tr>
        <w:tc>
          <w:tcPr>
            <w:tcW w:type="dxa" w:w="5112"/>
            <w:shd w:fill="E9EEF5"/>
            <w:vAlign w:val="center"/>
            <w:tcMar>
              <w:top w:w="80" w:type="dxa"/>
              <w:start w:w="100" w:type="dxa"/>
              <w:bottom w:w="80" w:type="dxa"/>
              <w:end w:w="100" w:type="dxa"/>
            </w:tcMar>
          </w:tcPr>
          <w:p>
            <w:r>
              <w:rPr>
                <w:b/>
                <w:sz w:val="17"/>
              </w:rPr>
              <w:t>Parameter</w:t>
            </w:r>
          </w:p>
        </w:tc>
        <w:tc>
          <w:tcPr>
            <w:tcW w:type="dxa" w:w="5112"/>
            <w:shd w:fill="E9EEF5"/>
            <w:vAlign w:val="center"/>
            <w:tcMar>
              <w:top w:w="80" w:type="dxa"/>
              <w:start w:w="100" w:type="dxa"/>
              <w:bottom w:w="80" w:type="dxa"/>
              <w:end w:w="100" w:type="dxa"/>
            </w:tcMar>
          </w:tcPr>
          <w:p>
            <w:r>
              <w:rPr>
                <w:b/>
                <w:sz w:val="17"/>
              </w:rPr>
              <w:t>Current Baseline</w:t>
            </w:r>
          </w:p>
        </w:tc>
      </w:tr>
      <w:tr>
        <w:tc>
          <w:tcPr>
            <w:tcW w:type="dxa" w:w="5112"/>
            <w:vAlign w:val="center"/>
            <w:tcMar>
              <w:top w:w="80" w:type="dxa"/>
              <w:start w:w="100" w:type="dxa"/>
              <w:bottom w:w="80" w:type="dxa"/>
              <w:end w:w="100" w:type="dxa"/>
            </w:tcMar>
          </w:tcPr>
          <w:p>
            <w:pPr>
              <w:spacing w:after="0"/>
            </w:pPr>
            <w:r>
              <w:rPr>
                <w:rFonts w:ascii="Arial" w:hAnsi="Arial"/>
                <w:sz w:val="16"/>
              </w:rPr>
              <w:t>DEX</w:t>
            </w:r>
          </w:p>
        </w:tc>
        <w:tc>
          <w:tcPr>
            <w:tcW w:type="dxa" w:w="5112"/>
            <w:vAlign w:val="center"/>
            <w:tcMar>
              <w:top w:w="80" w:type="dxa"/>
              <w:start w:w="100" w:type="dxa"/>
              <w:bottom w:w="80" w:type="dxa"/>
              <w:end w:w="100" w:type="dxa"/>
            </w:tcMar>
          </w:tcPr>
          <w:p>
            <w:pPr>
              <w:spacing w:after="0"/>
            </w:pPr>
            <w:r>
              <w:rPr>
                <w:rFonts w:ascii="Arial" w:hAnsi="Arial"/>
                <w:sz w:val="16"/>
              </w:rPr>
              <w:t>PancakeSwap V3</w:t>
            </w:r>
          </w:p>
        </w:tc>
      </w:tr>
      <w:tr>
        <w:tc>
          <w:tcPr>
            <w:tcW w:type="dxa" w:w="5112"/>
            <w:vAlign w:val="center"/>
            <w:tcMar>
              <w:top w:w="80" w:type="dxa"/>
              <w:start w:w="100" w:type="dxa"/>
              <w:bottom w:w="80" w:type="dxa"/>
              <w:end w:w="100" w:type="dxa"/>
            </w:tcMar>
          </w:tcPr>
          <w:p>
            <w:pPr>
              <w:spacing w:after="0"/>
            </w:pPr>
            <w:r>
              <w:rPr>
                <w:rFonts w:ascii="Arial" w:hAnsi="Arial"/>
                <w:sz w:val="16"/>
              </w:rPr>
              <w:t>Pair</w:t>
            </w:r>
          </w:p>
        </w:tc>
        <w:tc>
          <w:tcPr>
            <w:tcW w:type="dxa" w:w="5112"/>
            <w:vAlign w:val="center"/>
            <w:tcMar>
              <w:top w:w="80" w:type="dxa"/>
              <w:start w:w="100" w:type="dxa"/>
              <w:bottom w:w="80" w:type="dxa"/>
              <w:end w:w="100" w:type="dxa"/>
            </w:tcMar>
          </w:tcPr>
          <w:p>
            <w:pPr>
              <w:spacing w:after="0"/>
            </w:pPr>
            <w:r>
              <w:rPr>
                <w:rFonts w:ascii="Arial" w:hAnsi="Arial"/>
                <w:sz w:val="16"/>
              </w:rPr>
              <w:t>NODA / USDT</w:t>
            </w:r>
          </w:p>
        </w:tc>
      </w:tr>
      <w:tr>
        <w:tc>
          <w:tcPr>
            <w:tcW w:type="dxa" w:w="5112"/>
            <w:vAlign w:val="center"/>
            <w:tcMar>
              <w:top w:w="80" w:type="dxa"/>
              <w:start w:w="100" w:type="dxa"/>
              <w:bottom w:w="80" w:type="dxa"/>
              <w:end w:w="100" w:type="dxa"/>
            </w:tcMar>
          </w:tcPr>
          <w:p>
            <w:pPr>
              <w:spacing w:after="0"/>
            </w:pPr>
            <w:r>
              <w:rPr>
                <w:rFonts w:ascii="Arial" w:hAnsi="Arial"/>
                <w:sz w:val="16"/>
              </w:rPr>
              <w:t>Pool Contract</w:t>
            </w:r>
          </w:p>
        </w:tc>
        <w:tc>
          <w:tcPr>
            <w:tcW w:type="dxa" w:w="5112"/>
            <w:vAlign w:val="center"/>
            <w:tcMar>
              <w:top w:w="80" w:type="dxa"/>
              <w:start w:w="100" w:type="dxa"/>
              <w:bottom w:w="80" w:type="dxa"/>
              <w:end w:w="100" w:type="dxa"/>
            </w:tcMar>
          </w:tcPr>
          <w:p>
            <w:pPr>
              <w:spacing w:after="0"/>
            </w:pPr>
            <w:r>
              <w:rPr>
                <w:rFonts w:ascii="Arial" w:hAnsi="Arial"/>
                <w:sz w:val="16"/>
              </w:rPr>
              <w:t>0x2e8225eF29e0A2C928B9feFD53f9B6F359938Cf1</w:t>
            </w:r>
          </w:p>
        </w:tc>
      </w:tr>
      <w:tr>
        <w:tc>
          <w:tcPr>
            <w:tcW w:type="dxa" w:w="5112"/>
            <w:vAlign w:val="center"/>
            <w:tcMar>
              <w:top w:w="80" w:type="dxa"/>
              <w:start w:w="100" w:type="dxa"/>
              <w:bottom w:w="80" w:type="dxa"/>
              <w:end w:w="100" w:type="dxa"/>
            </w:tcMar>
          </w:tcPr>
          <w:p>
            <w:pPr>
              <w:spacing w:after="0"/>
            </w:pPr>
            <w:r>
              <w:rPr>
                <w:rFonts w:ascii="Arial" w:hAnsi="Arial"/>
                <w:sz w:val="16"/>
              </w:rPr>
              <w:t>Position ID</w:t>
            </w:r>
          </w:p>
        </w:tc>
        <w:tc>
          <w:tcPr>
            <w:tcW w:type="dxa" w:w="5112"/>
            <w:vAlign w:val="center"/>
            <w:tcMar>
              <w:top w:w="80" w:type="dxa"/>
              <w:start w:w="100" w:type="dxa"/>
              <w:bottom w:w="80" w:type="dxa"/>
              <w:end w:w="100" w:type="dxa"/>
            </w:tcMar>
          </w:tcPr>
          <w:p>
            <w:pPr>
              <w:spacing w:after="0"/>
            </w:pPr>
            <w:r>
              <w:rPr>
                <w:rFonts w:ascii="Arial" w:hAnsi="Arial"/>
                <w:sz w:val="16"/>
              </w:rPr>
              <w:t>#7381143</w:t>
            </w:r>
          </w:p>
        </w:tc>
      </w:tr>
      <w:tr>
        <w:tc>
          <w:tcPr>
            <w:tcW w:type="dxa" w:w="5112"/>
            <w:vAlign w:val="center"/>
            <w:tcMar>
              <w:top w:w="80" w:type="dxa"/>
              <w:start w:w="100" w:type="dxa"/>
              <w:bottom w:w="80" w:type="dxa"/>
              <w:end w:w="100" w:type="dxa"/>
            </w:tcMar>
          </w:tcPr>
          <w:p>
            <w:pPr>
              <w:spacing w:after="0"/>
            </w:pPr>
            <w:r>
              <w:rPr>
                <w:rFonts w:ascii="Arial" w:hAnsi="Arial"/>
                <w:sz w:val="16"/>
              </w:rPr>
              <w:t>Fee Tier</w:t>
            </w:r>
          </w:p>
        </w:tc>
        <w:tc>
          <w:tcPr>
            <w:tcW w:type="dxa" w:w="5112"/>
            <w:vAlign w:val="center"/>
            <w:tcMar>
              <w:top w:w="80" w:type="dxa"/>
              <w:start w:w="100" w:type="dxa"/>
              <w:bottom w:w="80" w:type="dxa"/>
              <w:end w:w="100" w:type="dxa"/>
            </w:tcMar>
          </w:tcPr>
          <w:p>
            <w:pPr>
              <w:spacing w:after="0"/>
            </w:pPr>
            <w:r>
              <w:rPr>
                <w:rFonts w:ascii="Arial" w:hAnsi="Arial"/>
                <w:sz w:val="16"/>
              </w:rPr>
              <w:t>0.01%</w:t>
            </w:r>
          </w:p>
        </w:tc>
      </w:tr>
      <w:tr>
        <w:tc>
          <w:tcPr>
            <w:tcW w:type="dxa" w:w="5112"/>
            <w:vAlign w:val="center"/>
            <w:tcMar>
              <w:top w:w="80" w:type="dxa"/>
              <w:start w:w="100" w:type="dxa"/>
              <w:bottom w:w="80" w:type="dxa"/>
              <w:end w:w="100" w:type="dxa"/>
            </w:tcMar>
          </w:tcPr>
          <w:p>
            <w:pPr>
              <w:spacing w:after="0"/>
            </w:pPr>
            <w:r>
              <w:rPr>
                <w:rFonts w:ascii="Arial" w:hAnsi="Arial"/>
                <w:sz w:val="16"/>
              </w:rPr>
              <w:t>Active Range</w:t>
            </w:r>
          </w:p>
        </w:tc>
        <w:tc>
          <w:tcPr>
            <w:tcW w:type="dxa" w:w="5112"/>
            <w:vAlign w:val="center"/>
            <w:tcMar>
              <w:top w:w="80" w:type="dxa"/>
              <w:start w:w="100" w:type="dxa"/>
              <w:bottom w:w="80" w:type="dxa"/>
              <w:end w:w="100" w:type="dxa"/>
            </w:tcMar>
          </w:tcPr>
          <w:p>
            <w:pPr>
              <w:spacing w:after="0"/>
            </w:pPr>
            <w:r>
              <w:rPr>
                <w:rFonts w:ascii="Arial" w:hAnsi="Arial"/>
                <w:sz w:val="16"/>
              </w:rPr>
              <w:t>0.979–0.981 USDT per NODA</w:t>
            </w:r>
          </w:p>
        </w:tc>
      </w:tr>
      <w:tr>
        <w:tc>
          <w:tcPr>
            <w:tcW w:type="dxa" w:w="5112"/>
            <w:vAlign w:val="center"/>
            <w:tcMar>
              <w:top w:w="80" w:type="dxa"/>
              <w:start w:w="100" w:type="dxa"/>
              <w:bottom w:w="80" w:type="dxa"/>
              <w:end w:w="100" w:type="dxa"/>
            </w:tcMar>
          </w:tcPr>
          <w:p>
            <w:pPr>
              <w:spacing w:after="0"/>
            </w:pPr>
            <w:r>
              <w:rPr>
                <w:rFonts w:ascii="Arial" w:hAnsi="Arial"/>
                <w:sz w:val="16"/>
              </w:rPr>
              <w:t>Baseline Price</w:t>
            </w:r>
          </w:p>
        </w:tc>
        <w:tc>
          <w:tcPr>
            <w:tcW w:type="dxa" w:w="5112"/>
            <w:vAlign w:val="center"/>
            <w:tcMar>
              <w:top w:w="80" w:type="dxa"/>
              <w:start w:w="100" w:type="dxa"/>
              <w:bottom w:w="80" w:type="dxa"/>
              <w:end w:w="100" w:type="dxa"/>
            </w:tcMar>
          </w:tcPr>
          <w:p>
            <w:pPr>
              <w:spacing w:after="0"/>
            </w:pPr>
            <w:r>
              <w:rPr>
                <w:rFonts w:ascii="Arial" w:hAnsi="Arial"/>
                <w:sz w:val="16"/>
              </w:rPr>
              <w:t>≈ 0.98024 USDT per NODA</w:t>
            </w:r>
          </w:p>
        </w:tc>
      </w:tr>
    </w:tbl>
    <w:p>
      <w:r>
        <w:t>The 3 billion NODA balance allocated to noda-liquidity.bnb is a liquidity reserve allocation. Reporting should distinguish this amount from the actual quantity of tokens deposited into a live LP position.</w:t>
      </w:r>
    </w:p>
    <w:p>
      <w:pPr>
        <w:pStyle w:val="Heading1"/>
      </w:pPr>
      <w:r>
        <w:t>7. Material Event Monitoring</w:t>
      </w:r>
    </w:p>
    <w:p>
      <w:pPr>
        <w:pStyle w:val="ListBullet"/>
        <w:spacing w:after="40"/>
      </w:pPr>
      <w:r>
        <w:t>Movement of ≥210,000,000 NODA from any project wallet.</w:t>
      </w:r>
    </w:p>
    <w:p>
      <w:pPr>
        <w:pStyle w:val="ListBullet"/>
        <w:spacing w:after="40"/>
      </w:pPr>
      <w:r>
        <w:t>Change or loss of BscScan Exact Match verification.</w:t>
      </w:r>
    </w:p>
    <w:p>
      <w:pPr>
        <w:pStyle w:val="ListBullet"/>
        <w:spacing w:after="40"/>
      </w:pPr>
      <w:r>
        <w:t>Mismatch in total supply, ticker or contract address on major trackers.</w:t>
      </w:r>
    </w:p>
    <w:p>
      <w:pPr>
        <w:pStyle w:val="ListBullet"/>
        <w:spacing w:after="40"/>
      </w:pPr>
      <w:r>
        <w:t>Material reduction in liquidity or movement of the active V3 position outside the 0.979–0.981 range.</w:t>
      </w:r>
    </w:p>
    <w:p>
      <w:pPr>
        <w:pStyle w:val="ListBullet"/>
        <w:spacing w:after="40"/>
      </w:pPr>
      <w:r>
        <w:t>New scam / malicious / honeypot / unsafe flag.</w:t>
      </w:r>
    </w:p>
    <w:p>
      <w:pPr>
        <w:pStyle w:val="ListBullet"/>
        <w:spacing w:after="40"/>
      </w:pPr>
      <w:r>
        <w:t>Change in verification status on CoinMarketCap, CoinGecko or other key platforms.</w:t>
      </w:r>
    </w:p>
    <w:p>
      <w:pPr>
        <w:pStyle w:val="Heading1"/>
      </w:pPr>
      <w:r>
        <w:t>8. Official Sources</w:t>
      </w:r>
    </w:p>
    <w:tbl>
      <w:tblPr>
        <w:tblStyle w:val="TableGrid"/>
        <w:tblW w:type="auto" w:w="0"/>
        <w:jc w:val="center"/>
        <w:tblLook w:firstColumn="1" w:firstRow="1" w:lastColumn="0" w:lastRow="0" w:noHBand="0" w:noVBand="1" w:val="04A0"/>
      </w:tblPr>
      <w:tblGrid>
        <w:gridCol w:w="5112"/>
        <w:gridCol w:w="5112"/>
      </w:tblGrid>
      <w:tr>
        <w:tc>
          <w:tcPr>
            <w:tcW w:type="dxa" w:w="5112"/>
            <w:shd w:fill="E9EEF5"/>
            <w:vAlign w:val="center"/>
            <w:tcMar>
              <w:top w:w="80" w:type="dxa"/>
              <w:start w:w="100" w:type="dxa"/>
              <w:bottom w:w="80" w:type="dxa"/>
              <w:end w:w="100" w:type="dxa"/>
            </w:tcMar>
          </w:tcPr>
          <w:p>
            <w:r>
              <w:rPr>
                <w:b/>
                <w:sz w:val="17"/>
              </w:rPr>
              <w:t>Source</w:t>
            </w:r>
          </w:p>
        </w:tc>
        <w:tc>
          <w:tcPr>
            <w:tcW w:type="dxa" w:w="5112"/>
            <w:shd w:fill="E9EEF5"/>
            <w:vAlign w:val="center"/>
            <w:tcMar>
              <w:top w:w="80" w:type="dxa"/>
              <w:start w:w="100" w:type="dxa"/>
              <w:bottom w:w="80" w:type="dxa"/>
              <w:end w:w="100" w:type="dxa"/>
            </w:tcMar>
          </w:tcPr>
          <w:p>
            <w:r>
              <w:rPr>
                <w:b/>
                <w:sz w:val="17"/>
              </w:rPr>
              <w:t>Address</w:t>
            </w:r>
          </w:p>
        </w:tc>
      </w:tr>
      <w:tr>
        <w:tc>
          <w:tcPr>
            <w:tcW w:type="dxa" w:w="5112"/>
            <w:vAlign w:val="center"/>
            <w:tcMar>
              <w:top w:w="80" w:type="dxa"/>
              <w:start w:w="100" w:type="dxa"/>
              <w:bottom w:w="80" w:type="dxa"/>
              <w:end w:w="100" w:type="dxa"/>
            </w:tcMar>
          </w:tcPr>
          <w:p>
            <w:pPr>
              <w:spacing w:after="0"/>
            </w:pPr>
            <w:r>
              <w:rPr>
                <w:rFonts w:ascii="Arial" w:hAnsi="Arial"/>
                <w:sz w:val="16"/>
              </w:rPr>
              <w:t>Website</w:t>
            </w:r>
          </w:p>
        </w:tc>
        <w:tc>
          <w:tcPr>
            <w:tcW w:type="dxa" w:w="5112"/>
            <w:vAlign w:val="center"/>
            <w:tcMar>
              <w:top w:w="80" w:type="dxa"/>
              <w:start w:w="100" w:type="dxa"/>
              <w:bottom w:w="80" w:type="dxa"/>
              <w:end w:w="100" w:type="dxa"/>
            </w:tcMar>
          </w:tcPr>
          <w:p>
            <w:pPr>
              <w:spacing w:after="0"/>
            </w:pPr>
            <w:r>
              <w:rPr>
                <w:rFonts w:ascii="Arial" w:hAnsi="Arial"/>
                <w:sz w:val="16"/>
              </w:rPr>
              <w:t>https://nodabank.ru/en</w:t>
            </w:r>
          </w:p>
        </w:tc>
      </w:tr>
      <w:tr>
        <w:tc>
          <w:tcPr>
            <w:tcW w:type="dxa" w:w="5112"/>
            <w:vAlign w:val="center"/>
            <w:tcMar>
              <w:top w:w="80" w:type="dxa"/>
              <w:start w:w="100" w:type="dxa"/>
              <w:bottom w:w="80" w:type="dxa"/>
              <w:end w:w="100" w:type="dxa"/>
            </w:tcMar>
          </w:tcPr>
          <w:p>
            <w:pPr>
              <w:spacing w:after="0"/>
            </w:pPr>
            <w:r>
              <w:rPr>
                <w:rFonts w:ascii="Arial" w:hAnsi="Arial"/>
                <w:sz w:val="16"/>
              </w:rPr>
              <w:t>Telegram</w:t>
            </w:r>
          </w:p>
        </w:tc>
        <w:tc>
          <w:tcPr>
            <w:tcW w:type="dxa" w:w="5112"/>
            <w:vAlign w:val="center"/>
            <w:tcMar>
              <w:top w:w="80" w:type="dxa"/>
              <w:start w:w="100" w:type="dxa"/>
              <w:bottom w:w="80" w:type="dxa"/>
              <w:end w:w="100" w:type="dxa"/>
            </w:tcMar>
          </w:tcPr>
          <w:p>
            <w:pPr>
              <w:spacing w:after="0"/>
            </w:pPr>
            <w:r>
              <w:rPr>
                <w:rFonts w:ascii="Arial" w:hAnsi="Arial"/>
                <w:sz w:val="16"/>
              </w:rPr>
              <w:t>https://t.me/NODA_Token</w:t>
            </w:r>
          </w:p>
        </w:tc>
      </w:tr>
      <w:tr>
        <w:tc>
          <w:tcPr>
            <w:tcW w:type="dxa" w:w="5112"/>
            <w:vAlign w:val="center"/>
            <w:tcMar>
              <w:top w:w="80" w:type="dxa"/>
              <w:start w:w="100" w:type="dxa"/>
              <w:bottom w:w="80" w:type="dxa"/>
              <w:end w:w="100" w:type="dxa"/>
            </w:tcMar>
          </w:tcPr>
          <w:p>
            <w:pPr>
              <w:spacing w:after="0"/>
            </w:pPr>
            <w:r>
              <w:rPr>
                <w:rFonts w:ascii="Arial" w:hAnsi="Arial"/>
                <w:sz w:val="16"/>
              </w:rPr>
              <w:t>X</w:t>
            </w:r>
          </w:p>
        </w:tc>
        <w:tc>
          <w:tcPr>
            <w:tcW w:type="dxa" w:w="5112"/>
            <w:vAlign w:val="center"/>
            <w:tcMar>
              <w:top w:w="80" w:type="dxa"/>
              <w:start w:w="100" w:type="dxa"/>
              <w:bottom w:w="80" w:type="dxa"/>
              <w:end w:w="100" w:type="dxa"/>
            </w:tcMar>
          </w:tcPr>
          <w:p>
            <w:pPr>
              <w:spacing w:after="0"/>
            </w:pPr>
            <w:r>
              <w:rPr>
                <w:rFonts w:ascii="Arial" w:hAnsi="Arial"/>
                <w:sz w:val="16"/>
              </w:rPr>
              <w:t>https://x.com/NodaToken</w:t>
            </w:r>
          </w:p>
        </w:tc>
      </w:tr>
      <w:tr>
        <w:tc>
          <w:tcPr>
            <w:tcW w:type="dxa" w:w="5112"/>
            <w:vAlign w:val="center"/>
            <w:tcMar>
              <w:top w:w="80" w:type="dxa"/>
              <w:start w:w="100" w:type="dxa"/>
              <w:bottom w:w="80" w:type="dxa"/>
              <w:end w:w="100" w:type="dxa"/>
            </w:tcMar>
          </w:tcPr>
          <w:p>
            <w:pPr>
              <w:spacing w:after="0"/>
            </w:pPr>
            <w:r>
              <w:rPr>
                <w:rFonts w:ascii="Arial" w:hAnsi="Arial"/>
                <w:sz w:val="16"/>
              </w:rPr>
              <w:t>BscScan</w:t>
            </w:r>
          </w:p>
        </w:tc>
        <w:tc>
          <w:tcPr>
            <w:tcW w:type="dxa" w:w="5112"/>
            <w:vAlign w:val="center"/>
            <w:tcMar>
              <w:top w:w="80" w:type="dxa"/>
              <w:start w:w="100" w:type="dxa"/>
              <w:bottom w:w="80" w:type="dxa"/>
              <w:end w:w="100" w:type="dxa"/>
            </w:tcMar>
          </w:tcPr>
          <w:p>
            <w:pPr>
              <w:spacing w:after="0"/>
            </w:pPr>
            <w:r>
              <w:rPr>
                <w:rFonts w:ascii="Arial" w:hAnsi="Arial"/>
                <w:sz w:val="16"/>
              </w:rPr>
              <w:t>https://bscscan.com/address/0x34027b8aab4daF79DF81B470df05357C465BaDA6</w:t>
            </w:r>
          </w:p>
        </w:tc>
      </w:tr>
      <w:tr>
        <w:tc>
          <w:tcPr>
            <w:tcW w:type="dxa" w:w="5112"/>
            <w:vAlign w:val="center"/>
            <w:tcMar>
              <w:top w:w="80" w:type="dxa"/>
              <w:start w:w="100" w:type="dxa"/>
              <w:bottom w:w="80" w:type="dxa"/>
              <w:end w:w="100" w:type="dxa"/>
            </w:tcMar>
          </w:tcPr>
          <w:p>
            <w:pPr>
              <w:spacing w:after="0"/>
            </w:pPr>
            <w:r>
              <w:rPr>
                <w:rFonts w:ascii="Arial" w:hAnsi="Arial"/>
                <w:sz w:val="16"/>
              </w:rPr>
              <w:t>GeckoTerminal</w:t>
            </w:r>
          </w:p>
        </w:tc>
        <w:tc>
          <w:tcPr>
            <w:tcW w:type="dxa" w:w="5112"/>
            <w:vAlign w:val="center"/>
            <w:tcMar>
              <w:top w:w="80" w:type="dxa"/>
              <w:start w:w="100" w:type="dxa"/>
              <w:bottom w:w="80" w:type="dxa"/>
              <w:end w:w="100" w:type="dxa"/>
            </w:tcMar>
          </w:tcPr>
          <w:p>
            <w:pPr>
              <w:spacing w:after="0"/>
            </w:pPr>
            <w:r>
              <w:rPr>
                <w:rFonts w:ascii="Arial" w:hAnsi="Arial"/>
                <w:sz w:val="16"/>
              </w:rPr>
              <w:t>https://www.geckoterminal.com/bsc/pools/0x2e8225ef29e0a2c928b9fefd53f9b6f359938cf1</w:t>
            </w:r>
          </w:p>
        </w:tc>
      </w:tr>
      <w:tr>
        <w:tc>
          <w:tcPr>
            <w:tcW w:type="dxa" w:w="5112"/>
            <w:vAlign w:val="center"/>
            <w:tcMar>
              <w:top w:w="80" w:type="dxa"/>
              <w:start w:w="100" w:type="dxa"/>
              <w:bottom w:w="80" w:type="dxa"/>
              <w:end w:w="100" w:type="dxa"/>
            </w:tcMar>
          </w:tcPr>
          <w:p>
            <w:pPr>
              <w:spacing w:after="0"/>
            </w:pPr>
            <w:r>
              <w:rPr>
                <w:rFonts w:ascii="Arial" w:hAnsi="Arial"/>
                <w:sz w:val="16"/>
              </w:rPr>
              <w:t>CoinMarketCap DEX</w:t>
            </w:r>
          </w:p>
        </w:tc>
        <w:tc>
          <w:tcPr>
            <w:tcW w:type="dxa" w:w="5112"/>
            <w:vAlign w:val="center"/>
            <w:tcMar>
              <w:top w:w="80" w:type="dxa"/>
              <w:start w:w="100" w:type="dxa"/>
              <w:bottom w:w="80" w:type="dxa"/>
              <w:end w:w="100" w:type="dxa"/>
            </w:tcMar>
          </w:tcPr>
          <w:p>
            <w:pPr>
              <w:spacing w:after="0"/>
            </w:pPr>
            <w:r>
              <w:rPr>
                <w:rFonts w:ascii="Arial" w:hAnsi="Arial"/>
                <w:sz w:val="16"/>
              </w:rPr>
              <w:t>https://dex.coinmarketcap.com/token/bsc/0x34027b8aab4daf79df81b470df05357c465bada6/</w:t>
            </w:r>
          </w:p>
        </w:tc>
      </w:tr>
    </w:tbl>
    <w:p>
      <w:r>
        <w:br w:type="page"/>
      </w:r>
    </w:p>
    <w:p>
      <w:pPr>
        <w:pStyle w:val="Heading1"/>
      </w:pPr>
      <w:r>
        <w:t>9. Risks and Limitations</w:t>
      </w:r>
    </w:p>
    <w:p>
      <w:pPr>
        <w:pStyle w:val="ListBullet"/>
        <w:spacing w:after="40"/>
      </w:pPr>
      <w:r>
        <w:t>Concentration: a significant share of the supply is held in project addresses, which may increase automated risk scores used by third-party services.</w:t>
      </w:r>
    </w:p>
    <w:p>
      <w:pPr>
        <w:pStyle w:val="ListBullet"/>
        <w:spacing w:after="40"/>
      </w:pPr>
      <w:r>
        <w:t>Liquidity: active DEX liquidity remains small relative to total supply and is deployed within a narrow V3 range.</w:t>
      </w:r>
    </w:p>
    <w:p>
      <w:pPr>
        <w:pStyle w:val="ListBullet"/>
        <w:spacing w:after="40"/>
      </w:pPr>
      <w:r>
        <w:t>Operational risk: fixed supply does not eliminate the risk of unauthorized access to project wallets.</w:t>
      </w:r>
    </w:p>
    <w:p>
      <w:pPr>
        <w:pStyle w:val="ListBullet"/>
        <w:spacing w:after="40"/>
      </w:pPr>
      <w:r>
        <w:t>Market metrics: TVL, volume, APR, price and market capitalization are dynamic and may be calculated differently across platforms.</w:t>
      </w:r>
    </w:p>
    <w:p>
      <w:pPr>
        <w:pStyle w:val="ListBullet"/>
        <w:spacing w:after="40"/>
      </w:pPr>
      <w:r>
        <w:t>The vesting policy is meaningful only if the project team follows the stated schedule and publicly records the launch date in a verifiable way.</w:t>
      </w:r>
    </w:p>
    <w:p>
      <w:pPr>
        <w:pStyle w:val="Heading1"/>
      </w:pPr>
      <w:r>
        <w:t>10. Version 1.1 Status</w:t>
      </w:r>
    </w:p>
    <w:p>
      <w:r>
        <w:t>Version 1.1 formalizes the core policies for Treasury, Reserve, Liquidity, Ecosystem, Team and Strategic / Operational Reserve. The key change from v1.0 is the formal Team vesting policy: a 12-month lock-up from the official NODA launch followed by 24 months of linear vesting.</w:t>
      </w:r>
    </w:p>
    <w:p>
      <w:r>
        <w:t>Before publication of the full Whitepaper, the following should be synchronized with this Tokenomics document: the official launch date, Team vesting schedule, project-wallet purposes, circulating-supply methodology and live-liquidity parameters.</w:t>
      </w:r>
    </w:p>
    <w:p>
      <w:pPr>
        <w:pStyle w:val="Heading1"/>
      </w:pPr>
      <w:r>
        <w:t>Disclaimer</w:t>
      </w:r>
    </w:p>
    <w:p>
      <w:r>
        <w:t>This document describes the issuance structure and internal allocation policy of NODA. It is not investment advice, a promise of price, yield, liquidity or listing, and should not be interpreted as a guarantee of the token’s future market value.</w:t>
      </w:r>
    </w:p>
    <w:sectPr w:rsidR="00FC693F" w:rsidRPr="0006063C" w:rsidSect="00034616">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NODA • Tokenomics v1.1 • September 10,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293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2937"/>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